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p>
    <w:p w14:paraId="3C6B6F6E">
      <w:pPr>
        <w:bidi w:val="0"/>
        <w:jc w:val="center"/>
        <w:rPr>
          <w:rFonts w:hint="default" w:ascii="Times New Roman" w:hAnsi="Times New Roman" w:eastAsia="方正小标宋_GBK" w:cs="Times New Roman"/>
          <w:color w:val="auto"/>
          <w:sz w:val="32"/>
          <w:szCs w:val="32"/>
          <w:highlight w:val="none"/>
        </w:rPr>
      </w:pPr>
      <w:bookmarkStart w:id="0"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w:t>
      </w:r>
      <w:r>
        <w:rPr>
          <w:rFonts w:hint="eastAsia" w:ascii="Times New Roman" w:hAnsi="Times New Roman" w:eastAsia="方正小标宋_GBK" w:cs="Times New Roman"/>
          <w:color w:val="auto"/>
          <w:sz w:val="32"/>
          <w:szCs w:val="32"/>
          <w:highlight w:val="none"/>
          <w:lang w:eastAsia="zh-CN"/>
        </w:rPr>
        <w:t>第</w:t>
      </w:r>
      <w:r>
        <w:rPr>
          <w:rFonts w:hint="eastAsia" w:ascii="Times New Roman" w:hAnsi="Times New Roman" w:eastAsia="方正小标宋_GBK" w:cs="Times New Roman"/>
          <w:color w:val="auto"/>
          <w:sz w:val="32"/>
          <w:szCs w:val="32"/>
          <w:highlight w:val="none"/>
          <w:lang w:val="en-US" w:eastAsia="zh-CN"/>
        </w:rPr>
        <w:t>六</w:t>
      </w:r>
      <w:r>
        <w:rPr>
          <w:rFonts w:hint="eastAsia" w:ascii="Times New Roman" w:hAnsi="Times New Roman" w:eastAsia="方正小标宋_GBK" w:cs="Times New Roman"/>
          <w:color w:val="auto"/>
          <w:sz w:val="32"/>
          <w:szCs w:val="32"/>
          <w:highlight w:val="none"/>
          <w:lang w:eastAsia="zh-CN"/>
        </w:rPr>
        <w:t>期</w:t>
      </w:r>
      <w:r>
        <w:rPr>
          <w:rFonts w:hint="eastAsia" w:ascii="Times New Roman" w:hAnsi="Times New Roman" w:eastAsia="方正小标宋_GBK" w:cs="Times New Roman"/>
          <w:color w:val="auto"/>
          <w:sz w:val="32"/>
          <w:szCs w:val="32"/>
          <w:highlight w:val="none"/>
          <w:lang w:val="en-US" w:eastAsia="zh-CN"/>
        </w:rPr>
        <w:t>杂石混合料</w:t>
      </w:r>
      <w:r>
        <w:rPr>
          <w:rFonts w:hint="default" w:ascii="Times New Roman" w:hAnsi="Times New Roman" w:eastAsia="方正小标宋_GBK" w:cs="Times New Roman"/>
          <w:color w:val="auto"/>
          <w:sz w:val="32"/>
          <w:szCs w:val="32"/>
          <w:highlight w:val="none"/>
        </w:rPr>
        <w:t>竞价销售项目</w:t>
      </w:r>
      <w:bookmarkEnd w:id="0"/>
    </w:p>
    <w:p w14:paraId="01791828">
      <w:pPr>
        <w:pStyle w:val="7"/>
        <w:rPr>
          <w:rFonts w:hint="default" w:ascii="Times New Roman" w:hAnsi="Times New Roman" w:cs="Times New Roman"/>
          <w:color w:val="auto"/>
          <w:highlight w:val="none"/>
        </w:rPr>
      </w:pPr>
    </w:p>
    <w:p w14:paraId="595427CD">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 w:name="_Toc27152"/>
      <w:bookmarkStart w:id="2" w:name="_Toc10721"/>
      <w:bookmarkStart w:id="3" w:name="_Toc16721"/>
      <w:bookmarkStart w:id="4" w:name="_Toc26897"/>
      <w:bookmarkStart w:id="5" w:name="_Toc17282"/>
      <w:bookmarkStart w:id="6" w:name="_Toc23529"/>
      <w:bookmarkStart w:id="7" w:name="_Toc10213"/>
      <w:bookmarkStart w:id="8" w:name="_Toc26801"/>
      <w:bookmarkStart w:id="9" w:name="_Toc25941"/>
      <w:r>
        <w:rPr>
          <w:rFonts w:hint="default" w:ascii="Times New Roman" w:hAnsi="Times New Roman" w:eastAsia="方正小标宋_GBK" w:cs="Times New Roman"/>
          <w:b w:val="0"/>
          <w:bCs w:val="0"/>
          <w:color w:val="auto"/>
          <w:sz w:val="72"/>
          <w:szCs w:val="72"/>
          <w:highlight w:val="none"/>
        </w:rPr>
        <w:t>竞</w:t>
      </w:r>
      <w:bookmarkEnd w:id="1"/>
      <w:bookmarkEnd w:id="2"/>
      <w:bookmarkEnd w:id="3"/>
      <w:bookmarkEnd w:id="4"/>
      <w:bookmarkEnd w:id="5"/>
      <w:bookmarkEnd w:id="6"/>
      <w:bookmarkEnd w:id="7"/>
      <w:bookmarkEnd w:id="8"/>
      <w:bookmarkEnd w:id="9"/>
    </w:p>
    <w:p w14:paraId="4CB1D57B">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0" w:name="_Toc10956"/>
      <w:bookmarkStart w:id="11" w:name="_Toc6547"/>
      <w:bookmarkStart w:id="12" w:name="_Toc27929"/>
      <w:bookmarkStart w:id="13" w:name="_Toc27179"/>
      <w:bookmarkStart w:id="14" w:name="_Toc22796"/>
      <w:bookmarkStart w:id="15" w:name="_Toc14741"/>
      <w:bookmarkStart w:id="16" w:name="_Toc9731"/>
      <w:bookmarkStart w:id="17" w:name="_Toc23779"/>
      <w:bookmarkStart w:id="18" w:name="_Toc10799"/>
      <w:r>
        <w:rPr>
          <w:rFonts w:hint="default" w:ascii="Times New Roman" w:hAnsi="Times New Roman" w:eastAsia="方正小标宋_GBK" w:cs="Times New Roman"/>
          <w:b w:val="0"/>
          <w:bCs w:val="0"/>
          <w:color w:val="auto"/>
          <w:sz w:val="72"/>
          <w:szCs w:val="72"/>
          <w:highlight w:val="none"/>
        </w:rPr>
        <w:t>价</w:t>
      </w:r>
      <w:bookmarkEnd w:id="10"/>
      <w:bookmarkEnd w:id="11"/>
      <w:bookmarkEnd w:id="12"/>
      <w:bookmarkEnd w:id="13"/>
      <w:bookmarkEnd w:id="14"/>
      <w:bookmarkEnd w:id="15"/>
      <w:bookmarkEnd w:id="16"/>
      <w:bookmarkEnd w:id="17"/>
      <w:bookmarkEnd w:id="18"/>
    </w:p>
    <w:p w14:paraId="5A7C1A7E">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9" w:name="_Toc3459"/>
      <w:bookmarkStart w:id="20" w:name="_Toc3558"/>
      <w:bookmarkStart w:id="21" w:name="_Toc25320"/>
      <w:bookmarkStart w:id="22" w:name="_Toc7443"/>
      <w:bookmarkStart w:id="23" w:name="_Toc28029"/>
      <w:bookmarkStart w:id="24" w:name="_Toc18910"/>
      <w:bookmarkStart w:id="25" w:name="_Toc5766"/>
      <w:bookmarkStart w:id="26" w:name="_Toc1037"/>
      <w:bookmarkStart w:id="27" w:name="_Toc11645"/>
      <w:r>
        <w:rPr>
          <w:rFonts w:hint="default" w:ascii="Times New Roman" w:hAnsi="Times New Roman" w:eastAsia="方正小标宋_GBK" w:cs="Times New Roman"/>
          <w:b w:val="0"/>
          <w:bCs w:val="0"/>
          <w:color w:val="auto"/>
          <w:sz w:val="72"/>
          <w:szCs w:val="72"/>
          <w:highlight w:val="none"/>
        </w:rPr>
        <w:t>销</w:t>
      </w:r>
      <w:bookmarkEnd w:id="19"/>
      <w:bookmarkEnd w:id="20"/>
      <w:bookmarkEnd w:id="21"/>
      <w:bookmarkEnd w:id="22"/>
      <w:bookmarkEnd w:id="23"/>
      <w:bookmarkEnd w:id="24"/>
      <w:bookmarkEnd w:id="25"/>
      <w:bookmarkEnd w:id="26"/>
      <w:bookmarkEnd w:id="27"/>
    </w:p>
    <w:p w14:paraId="49EC5CBC">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8" w:name="_Toc9412"/>
      <w:bookmarkStart w:id="29" w:name="_Toc22233"/>
      <w:bookmarkStart w:id="30" w:name="_Toc25825"/>
      <w:bookmarkStart w:id="31" w:name="_Toc9436"/>
      <w:bookmarkStart w:id="32" w:name="_Toc15804"/>
      <w:bookmarkStart w:id="33" w:name="_Toc16368"/>
      <w:bookmarkStart w:id="34" w:name="_Toc24952"/>
      <w:bookmarkStart w:id="35" w:name="_Toc13286"/>
      <w:bookmarkStart w:id="36" w:name="_Toc6573"/>
      <w:r>
        <w:rPr>
          <w:rFonts w:hint="default" w:ascii="Times New Roman" w:hAnsi="Times New Roman" w:eastAsia="方正小标宋_GBK" w:cs="Times New Roman"/>
          <w:b w:val="0"/>
          <w:bCs w:val="0"/>
          <w:color w:val="auto"/>
          <w:sz w:val="72"/>
          <w:szCs w:val="72"/>
          <w:highlight w:val="none"/>
        </w:rPr>
        <w:t>售</w:t>
      </w:r>
      <w:bookmarkEnd w:id="28"/>
      <w:bookmarkEnd w:id="29"/>
      <w:bookmarkEnd w:id="30"/>
      <w:bookmarkEnd w:id="31"/>
      <w:bookmarkEnd w:id="32"/>
      <w:bookmarkEnd w:id="33"/>
      <w:bookmarkEnd w:id="34"/>
      <w:bookmarkEnd w:id="35"/>
      <w:bookmarkEnd w:id="36"/>
    </w:p>
    <w:p w14:paraId="6398E3B0">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7" w:name="_Toc14955"/>
      <w:bookmarkStart w:id="38" w:name="_Toc16521"/>
      <w:bookmarkStart w:id="39" w:name="_Toc16975"/>
      <w:bookmarkStart w:id="40" w:name="_Toc2440"/>
      <w:bookmarkStart w:id="41" w:name="_Toc6247"/>
      <w:bookmarkStart w:id="42" w:name="_Toc28545"/>
      <w:bookmarkStart w:id="43" w:name="_Toc20567"/>
      <w:bookmarkStart w:id="44" w:name="_Toc30386"/>
      <w:bookmarkStart w:id="45" w:name="_Toc2580"/>
      <w:r>
        <w:rPr>
          <w:rFonts w:hint="default" w:ascii="Times New Roman" w:hAnsi="Times New Roman" w:eastAsia="方正小标宋_GBK" w:cs="Times New Roman"/>
          <w:b w:val="0"/>
          <w:bCs w:val="0"/>
          <w:color w:val="auto"/>
          <w:sz w:val="72"/>
          <w:szCs w:val="72"/>
          <w:highlight w:val="none"/>
        </w:rPr>
        <w:t>文</w:t>
      </w:r>
      <w:bookmarkEnd w:id="37"/>
      <w:bookmarkEnd w:id="38"/>
      <w:bookmarkEnd w:id="39"/>
      <w:bookmarkEnd w:id="40"/>
      <w:bookmarkEnd w:id="41"/>
      <w:bookmarkEnd w:id="42"/>
      <w:bookmarkEnd w:id="43"/>
      <w:bookmarkEnd w:id="44"/>
      <w:bookmarkEnd w:id="45"/>
    </w:p>
    <w:p w14:paraId="3A02D5A1">
      <w:pPr>
        <w:pStyle w:val="7"/>
        <w:ind w:left="0" w:leftChars="0" w:firstLine="0" w:firstLineChars="0"/>
        <w:jc w:val="center"/>
        <w:outlineLvl w:val="0"/>
        <w:rPr>
          <w:rFonts w:hint="default" w:ascii="Times New Roman" w:hAnsi="Times New Roman" w:cs="Times New Roman"/>
          <w:color w:val="auto"/>
          <w:highlight w:val="none"/>
        </w:rPr>
      </w:pPr>
      <w:bookmarkStart w:id="46" w:name="_Toc24105"/>
      <w:bookmarkStart w:id="47" w:name="_Toc14381"/>
      <w:bookmarkStart w:id="48" w:name="_Toc18439"/>
      <w:bookmarkStart w:id="49" w:name="_Toc64"/>
      <w:bookmarkStart w:id="50" w:name="_Toc16526"/>
      <w:bookmarkStart w:id="51" w:name="_Toc5784"/>
      <w:bookmarkStart w:id="52" w:name="_Toc2415"/>
      <w:bookmarkStart w:id="53" w:name="_Toc31051"/>
      <w:bookmarkStart w:id="54" w:name="_Toc9773"/>
      <w:r>
        <w:rPr>
          <w:rFonts w:hint="default" w:ascii="Times New Roman" w:hAnsi="Times New Roman" w:eastAsia="方正小标宋_GBK" w:cs="Times New Roman"/>
          <w:b w:val="0"/>
          <w:bCs w:val="0"/>
          <w:color w:val="auto"/>
          <w:sz w:val="72"/>
          <w:szCs w:val="72"/>
          <w:highlight w:val="none"/>
        </w:rPr>
        <w:t>件</w:t>
      </w:r>
      <w:bookmarkEnd w:id="46"/>
      <w:bookmarkEnd w:id="47"/>
      <w:bookmarkEnd w:id="48"/>
      <w:bookmarkEnd w:id="49"/>
      <w:bookmarkEnd w:id="50"/>
      <w:bookmarkEnd w:id="51"/>
      <w:bookmarkEnd w:id="52"/>
      <w:bookmarkEnd w:id="53"/>
      <w:bookmarkEnd w:id="54"/>
    </w:p>
    <w:p w14:paraId="259630CE">
      <w:pPr>
        <w:pStyle w:val="7"/>
        <w:rPr>
          <w:rFonts w:hint="default" w:ascii="Times New Roman" w:hAnsi="Times New Roman" w:cs="Times New Roman"/>
          <w:color w:val="auto"/>
          <w:highlight w:val="none"/>
        </w:rPr>
      </w:pPr>
    </w:p>
    <w:p w14:paraId="41A24F3E">
      <w:pPr>
        <w:pStyle w:val="7"/>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-0</w:t>
      </w:r>
      <w:r>
        <w:rPr>
          <w:rFonts w:hint="eastAsia" w:ascii="Times New Roman" w:hAnsi="Times New Roman" w:cs="Times New Roman"/>
          <w:color w:val="auto"/>
          <w:highlight w:val="none"/>
          <w:u w:val="single"/>
          <w:lang w:val="en-US" w:eastAsia="zh-CN"/>
        </w:rPr>
        <w:t>9</w:t>
      </w:r>
    </w:p>
    <w:p w14:paraId="2FB73139">
      <w:pPr>
        <w:pStyle w:val="7"/>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7E67EA1F">
      <w:pPr>
        <w:pStyle w:val="2"/>
        <w:rPr>
          <w:rFonts w:hint="default"/>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7"/>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7月4日</w:t>
      </w:r>
    </w:p>
    <w:p w14:paraId="1E90E519">
      <w:pPr>
        <w:spacing w:line="240" w:lineRule="auto"/>
        <w:jc w:val="center"/>
        <w:rPr>
          <w:rFonts w:hint="eastAsia" w:ascii="方正小标宋_GBK" w:hAnsi="方正小标宋_GBK" w:eastAsia="方正小标宋_GBK" w:cs="方正小标宋_GBK"/>
          <w:b w:val="0"/>
          <w:bCs w:val="0"/>
          <w:color w:val="auto"/>
          <w:sz w:val="44"/>
          <w:szCs w:val="44"/>
          <w:highlight w:val="none"/>
          <w:lang w:eastAsia="zh-CN"/>
        </w:rPr>
      </w:pPr>
    </w:p>
    <w:p w14:paraId="135E3F4E">
      <w:pPr>
        <w:spacing w:line="240" w:lineRule="auto"/>
        <w:jc w:val="center"/>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lang w:eastAsia="zh-CN"/>
        </w:rPr>
        <w:t>安徽交控东流新材料有限公司</w:t>
      </w:r>
      <w:r>
        <w:rPr>
          <w:rFonts w:hint="eastAsia" w:ascii="方正小标宋_GBK" w:hAnsi="方正小标宋_GBK" w:eastAsia="方正小标宋_GBK" w:cs="方正小标宋_GBK"/>
          <w:b w:val="0"/>
          <w:bCs w:val="0"/>
          <w:color w:val="auto"/>
          <w:sz w:val="44"/>
          <w:szCs w:val="44"/>
          <w:highlight w:val="none"/>
        </w:rPr>
        <w:t>202</w:t>
      </w:r>
      <w:r>
        <w:rPr>
          <w:rFonts w:hint="eastAsia" w:ascii="方正小标宋_GBK" w:hAnsi="方正小标宋_GBK" w:eastAsia="方正小标宋_GBK" w:cs="方正小标宋_GBK"/>
          <w:b w:val="0"/>
          <w:bCs w:val="0"/>
          <w:color w:val="auto"/>
          <w:sz w:val="44"/>
          <w:szCs w:val="44"/>
          <w:highlight w:val="none"/>
          <w:lang w:val="en-US" w:eastAsia="zh-CN"/>
        </w:rPr>
        <w:t>5</w:t>
      </w:r>
      <w:r>
        <w:rPr>
          <w:rFonts w:hint="eastAsia" w:ascii="方正小标宋_GBK" w:hAnsi="方正小标宋_GBK" w:eastAsia="方正小标宋_GBK" w:cs="方正小标宋_GBK"/>
          <w:b w:val="0"/>
          <w:bCs w:val="0"/>
          <w:color w:val="auto"/>
          <w:sz w:val="44"/>
          <w:szCs w:val="44"/>
          <w:highlight w:val="none"/>
        </w:rPr>
        <w:t>年</w:t>
      </w:r>
    </w:p>
    <w:p w14:paraId="4BFCE36E">
      <w:pPr>
        <w:spacing w:line="240" w:lineRule="auto"/>
        <w:jc w:val="center"/>
        <w:rPr>
          <w:rFonts w:hint="eastAsia" w:ascii="方正小标宋_GBK" w:hAnsi="方正小标宋_GBK" w:eastAsia="方正小标宋_GBK" w:cs="方正小标宋_GBK"/>
          <w:b w:val="0"/>
          <w:bCs w:val="0"/>
          <w:color w:val="auto"/>
          <w:sz w:val="44"/>
          <w:szCs w:val="44"/>
          <w:highlight w:val="none"/>
          <w:lang w:val="en-US" w:eastAsia="zh-CN"/>
        </w:rPr>
      </w:pPr>
      <w:r>
        <w:rPr>
          <w:rFonts w:hint="eastAsia" w:ascii="方正小标宋_GBK" w:hAnsi="方正小标宋_GBK" w:eastAsia="方正小标宋_GBK" w:cs="方正小标宋_GBK"/>
          <w:b w:val="0"/>
          <w:bCs w:val="0"/>
          <w:color w:val="auto"/>
          <w:sz w:val="44"/>
          <w:szCs w:val="44"/>
          <w:highlight w:val="none"/>
          <w:lang w:eastAsia="zh-CN"/>
        </w:rPr>
        <w:t>第</w:t>
      </w:r>
      <w:r>
        <w:rPr>
          <w:rFonts w:hint="eastAsia" w:ascii="方正小标宋_GBK" w:hAnsi="方正小标宋_GBK" w:eastAsia="方正小标宋_GBK" w:cs="方正小标宋_GBK"/>
          <w:b w:val="0"/>
          <w:bCs w:val="0"/>
          <w:color w:val="auto"/>
          <w:sz w:val="44"/>
          <w:szCs w:val="44"/>
          <w:highlight w:val="none"/>
          <w:lang w:val="en-US" w:eastAsia="zh-CN"/>
        </w:rPr>
        <w:t>六</w:t>
      </w:r>
      <w:r>
        <w:rPr>
          <w:rFonts w:hint="eastAsia" w:ascii="方正小标宋_GBK" w:hAnsi="方正小标宋_GBK" w:eastAsia="方正小标宋_GBK" w:cs="方正小标宋_GBK"/>
          <w:b w:val="0"/>
          <w:bCs w:val="0"/>
          <w:color w:val="auto"/>
          <w:sz w:val="44"/>
          <w:szCs w:val="44"/>
          <w:highlight w:val="none"/>
          <w:lang w:eastAsia="zh-CN"/>
        </w:rPr>
        <w:t>期</w:t>
      </w:r>
      <w:r>
        <w:rPr>
          <w:rFonts w:hint="eastAsia" w:ascii="方正小标宋_GBK" w:hAnsi="方正小标宋_GBK" w:eastAsia="方正小标宋_GBK" w:cs="方正小标宋_GBK"/>
          <w:b w:val="0"/>
          <w:bCs w:val="0"/>
          <w:color w:val="auto"/>
          <w:sz w:val="44"/>
          <w:szCs w:val="44"/>
          <w:highlight w:val="none"/>
          <w:lang w:val="en-US" w:eastAsia="zh-CN"/>
        </w:rPr>
        <w:t>杂石混合料竞价销</w:t>
      </w:r>
      <w:r>
        <w:rPr>
          <w:rFonts w:hint="eastAsia" w:ascii="方正小标宋_GBK" w:hAnsi="方正小标宋_GBK" w:eastAsia="方正小标宋_GBK" w:cs="方正小标宋_GBK"/>
          <w:b w:val="0"/>
          <w:bCs w:val="0"/>
          <w:color w:val="auto"/>
          <w:sz w:val="44"/>
          <w:szCs w:val="44"/>
          <w:highlight w:val="none"/>
        </w:rPr>
        <w:t>售</w:t>
      </w:r>
    </w:p>
    <w:p w14:paraId="5D0F8EBE">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07AB3615">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color w:val="auto"/>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3411197C">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各竞买人：</w:t>
      </w:r>
    </w:p>
    <w:p w14:paraId="671B181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现对安徽交控东流新材料有限公司（以下简</w:t>
      </w:r>
      <w:bookmarkStart w:id="198" w:name="_GoBack"/>
      <w:bookmarkEnd w:id="198"/>
      <w:r>
        <w:rPr>
          <w:rFonts w:hint="default" w:ascii="Times New Roman" w:hAnsi="Times New Roman" w:cs="Times New Roman"/>
          <w:color w:val="auto"/>
          <w:sz w:val="28"/>
          <w:szCs w:val="28"/>
          <w:highlight w:val="none"/>
          <w:lang w:val="en-US" w:eastAsia="zh-CN"/>
        </w:rPr>
        <w:t>称东流新材料有限公司或竞卖人）2025年</w:t>
      </w:r>
      <w:r>
        <w:rPr>
          <w:rFonts w:hint="eastAsia" w:ascii="Times New Roman" w:hAnsi="Times New Roman" w:cs="Times New Roman"/>
          <w:color w:val="auto"/>
          <w:sz w:val="28"/>
          <w:szCs w:val="28"/>
          <w:highlight w:val="none"/>
          <w:lang w:val="en-US" w:eastAsia="zh-CN"/>
        </w:rPr>
        <w:t>第六期杂石混合料</w:t>
      </w:r>
      <w:r>
        <w:rPr>
          <w:rFonts w:hint="default" w:ascii="Times New Roman" w:hAnsi="Times New Roman" w:cs="Times New Roman"/>
          <w:color w:val="auto"/>
          <w:sz w:val="28"/>
          <w:szCs w:val="28"/>
          <w:highlight w:val="none"/>
          <w:lang w:val="en-US" w:eastAsia="zh-CN"/>
        </w:rPr>
        <w:t>竞价销售项目产品进行公开预售竞价交易，公告如下：</w:t>
      </w:r>
      <w:bookmarkStart w:id="55" w:name="_Toc23298"/>
      <w:bookmarkStart w:id="56" w:name="_Toc18278"/>
    </w:p>
    <w:p w14:paraId="61629EC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w:t>
      </w:r>
      <w:r>
        <w:rPr>
          <w:rFonts w:hint="default" w:ascii="Times New Roman" w:hAnsi="Times New Roman" w:eastAsia="黑体" w:cs="Times New Roman"/>
          <w:color w:val="auto"/>
          <w:sz w:val="28"/>
          <w:szCs w:val="28"/>
          <w:highlight w:val="none"/>
        </w:rPr>
        <w:t>竞价产品</w:t>
      </w:r>
      <w:bookmarkEnd w:id="55"/>
      <w:bookmarkEnd w:id="56"/>
      <w:r>
        <w:rPr>
          <w:rFonts w:hint="default" w:ascii="Times New Roman" w:hAnsi="Times New Roman" w:eastAsia="黑体" w:cs="Times New Roman"/>
          <w:color w:val="auto"/>
          <w:sz w:val="28"/>
          <w:szCs w:val="28"/>
          <w:highlight w:val="none"/>
          <w:lang w:val="en-US" w:eastAsia="zh-CN"/>
        </w:rPr>
        <w:t>及相关要求</w:t>
      </w:r>
    </w:p>
    <w:tbl>
      <w:tblPr>
        <w:tblStyle w:val="10"/>
        <w:tblW w:w="10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550"/>
        <w:gridCol w:w="1162"/>
        <w:gridCol w:w="1452"/>
        <w:gridCol w:w="1725"/>
        <w:gridCol w:w="1189"/>
        <w:gridCol w:w="2341"/>
      </w:tblGrid>
      <w:tr w14:paraId="3ABD0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25" w:type="dxa"/>
            <w:vAlign w:val="center"/>
          </w:tcPr>
          <w:p w14:paraId="142725F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bookmarkStart w:id="57" w:name="_Toc27967"/>
            <w:r>
              <w:rPr>
                <w:rFonts w:hint="default" w:ascii="Times New Roman" w:hAnsi="Times New Roman" w:eastAsia="华文仿宋" w:cs="Times New Roman"/>
                <w:b w:val="0"/>
                <w:bCs w:val="0"/>
                <w:color w:val="auto"/>
                <w:kern w:val="2"/>
                <w:sz w:val="24"/>
                <w:szCs w:val="24"/>
                <w:highlight w:val="none"/>
                <w:lang w:val="en-US" w:eastAsia="zh-CN" w:bidi="ar-SA"/>
              </w:rPr>
              <w:t>标包</w:t>
            </w:r>
          </w:p>
        </w:tc>
        <w:tc>
          <w:tcPr>
            <w:tcW w:w="1550" w:type="dxa"/>
            <w:vAlign w:val="center"/>
          </w:tcPr>
          <w:p w14:paraId="4FC8C41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产品名称</w:t>
            </w:r>
          </w:p>
        </w:tc>
        <w:tc>
          <w:tcPr>
            <w:tcW w:w="1162" w:type="dxa"/>
            <w:vAlign w:val="center"/>
          </w:tcPr>
          <w:p w14:paraId="73A4DCA3">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交易量</w:t>
            </w:r>
          </w:p>
          <w:p w14:paraId="79BB2D30">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（万吨）</w:t>
            </w:r>
          </w:p>
        </w:tc>
        <w:tc>
          <w:tcPr>
            <w:tcW w:w="1452" w:type="dxa"/>
            <w:vAlign w:val="center"/>
          </w:tcPr>
          <w:p w14:paraId="232A883C">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含税竞价底</w:t>
            </w:r>
          </w:p>
          <w:p w14:paraId="4D99F22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价（元/吨）</w:t>
            </w:r>
          </w:p>
        </w:tc>
        <w:tc>
          <w:tcPr>
            <w:tcW w:w="1725" w:type="dxa"/>
            <w:vAlign w:val="center"/>
          </w:tcPr>
          <w:p w14:paraId="768DCB4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清运周期</w:t>
            </w:r>
          </w:p>
        </w:tc>
        <w:tc>
          <w:tcPr>
            <w:tcW w:w="1189" w:type="dxa"/>
            <w:vAlign w:val="center"/>
          </w:tcPr>
          <w:p w14:paraId="4D8E783D">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税率</w:t>
            </w:r>
          </w:p>
        </w:tc>
        <w:tc>
          <w:tcPr>
            <w:tcW w:w="2341" w:type="dxa"/>
            <w:shd w:val="clear" w:color="auto" w:fill="auto"/>
            <w:vAlign w:val="center"/>
          </w:tcPr>
          <w:p w14:paraId="2D88A05B">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总金额（万元）</w:t>
            </w:r>
          </w:p>
        </w:tc>
      </w:tr>
      <w:tr w14:paraId="706C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25" w:type="dxa"/>
            <w:vAlign w:val="center"/>
          </w:tcPr>
          <w:p w14:paraId="508D226A">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50" w:type="dxa"/>
            <w:vAlign w:val="center"/>
          </w:tcPr>
          <w:p w14:paraId="5925789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杂石混合料</w:t>
            </w:r>
          </w:p>
        </w:tc>
        <w:tc>
          <w:tcPr>
            <w:tcW w:w="1162" w:type="dxa"/>
            <w:vAlign w:val="center"/>
          </w:tcPr>
          <w:p w14:paraId="1786B665">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2</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eastAsia" w:ascii="Times New Roman" w:hAnsi="Times New Roman" w:cs="Times New Roman"/>
                <w:b w:val="0"/>
                <w:bCs w:val="0"/>
                <w:color w:val="auto"/>
                <w:kern w:val="2"/>
                <w:sz w:val="24"/>
                <w:szCs w:val="24"/>
                <w:highlight w:val="none"/>
                <w:lang w:val="en-US" w:eastAsia="zh-CN" w:bidi="ar-SA"/>
              </w:rPr>
              <w:t>.00</w:t>
            </w:r>
          </w:p>
        </w:tc>
        <w:tc>
          <w:tcPr>
            <w:tcW w:w="1452" w:type="dxa"/>
            <w:vAlign w:val="center"/>
          </w:tcPr>
          <w:p w14:paraId="0613786C">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6.00</w:t>
            </w:r>
          </w:p>
        </w:tc>
        <w:tc>
          <w:tcPr>
            <w:tcW w:w="1725" w:type="dxa"/>
            <w:vAlign w:val="center"/>
          </w:tcPr>
          <w:p w14:paraId="7B94A519">
            <w:pPr>
              <w:pStyle w:val="2"/>
              <w:keepNext w:val="0"/>
              <w:keepLines w:val="0"/>
              <w:pageBreakBefore w:val="0"/>
              <w:widowControl w:val="0"/>
              <w:kinsoku/>
              <w:wordWrap/>
              <w:overflowPunct/>
              <w:topLinePunct w:val="0"/>
              <w:autoSpaceDE/>
              <w:autoSpaceDN/>
              <w:bidi w:val="0"/>
              <w:adjustRightInd/>
              <w:snapToGrid/>
              <w:spacing w:after="0" w:afterLines="0"/>
              <w:ind w:left="23"/>
              <w:jc w:val="both"/>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截至8月31日</w:t>
            </w:r>
          </w:p>
        </w:tc>
        <w:tc>
          <w:tcPr>
            <w:tcW w:w="1189" w:type="dxa"/>
            <w:vAlign w:val="center"/>
          </w:tcPr>
          <w:p w14:paraId="67F0A2D9">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2341" w:type="dxa"/>
            <w:shd w:val="clear" w:color="auto" w:fill="auto"/>
            <w:vAlign w:val="center"/>
          </w:tcPr>
          <w:p w14:paraId="789F7F05">
            <w:pPr>
              <w:pStyle w:val="2"/>
              <w:keepNext w:val="0"/>
              <w:keepLines w:val="0"/>
              <w:pageBreakBefore w:val="0"/>
              <w:widowControl w:val="0"/>
              <w:kinsoku/>
              <w:wordWrap/>
              <w:overflowPunct/>
              <w:topLinePunct w:val="0"/>
              <w:autoSpaceDE/>
              <w:autoSpaceDN/>
              <w:bidi w:val="0"/>
              <w:adjustRightInd/>
              <w:snapToGrid/>
              <w:spacing w:after="0" w:afterLines="0" w:line="240" w:lineRule="auto"/>
              <w:ind w:left="23"/>
              <w:jc w:val="center"/>
              <w:textAlignment w:val="auto"/>
              <w:rPr>
                <w:rFonts w:hint="default" w:ascii="Times New Roman" w:hAnsi="Times New Roman"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120.00</w:t>
            </w:r>
          </w:p>
        </w:tc>
      </w:tr>
      <w:tr w14:paraId="12957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1" w:hRule="exact"/>
          <w:jc w:val="center"/>
        </w:trPr>
        <w:tc>
          <w:tcPr>
            <w:tcW w:w="10144" w:type="dxa"/>
            <w:gridSpan w:val="7"/>
            <w:vAlign w:val="center"/>
          </w:tcPr>
          <w:p w14:paraId="0E005D2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30ADE7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1.本项目共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各竞买人进现场报价，</w:t>
            </w:r>
            <w:r>
              <w:rPr>
                <w:rFonts w:hint="default" w:ascii="Times New Roman" w:hAnsi="Times New Roman" w:cs="Times New Roman"/>
                <w:b w:val="0"/>
                <w:bCs w:val="0"/>
                <w:color w:val="auto"/>
                <w:sz w:val="24"/>
                <w:szCs w:val="24"/>
                <w:highlight w:val="none"/>
                <w:lang w:val="en-US" w:eastAsia="zh-CN"/>
              </w:rPr>
              <w:t>竞价报价低于竞价底价的，属无效报价。</w:t>
            </w:r>
          </w:p>
          <w:p w14:paraId="0790ECC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2.本项目标的产品由于含水率扣除原因在合同规定清运周期内按98.5%结算率结算。</w:t>
            </w:r>
          </w:p>
          <w:p w14:paraId="3CC0516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highlight w:val="none"/>
                <w:lang w:val="en-US" w:eastAsia="zh-CN"/>
              </w:rPr>
            </w:pPr>
          </w:p>
        </w:tc>
      </w:tr>
    </w:tbl>
    <w:p w14:paraId="424829B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二、产品规格</w:t>
      </w:r>
      <w:bookmarkEnd w:id="57"/>
    </w:p>
    <w:p w14:paraId="03BB615D">
      <w:pPr>
        <w:pStyle w:val="12"/>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auto"/>
          <w:kern w:val="2"/>
          <w:sz w:val="28"/>
          <w:szCs w:val="28"/>
          <w:highlight w:val="none"/>
          <w:lang w:val="en-US" w:eastAsia="zh-CN" w:bidi="ar-SA"/>
        </w:rPr>
      </w:pPr>
      <w:r>
        <w:rPr>
          <w:rFonts w:hint="eastAsia" w:ascii="Times New Roman" w:hAnsi="Times New Roman" w:eastAsia="华文仿宋" w:cs="Times New Roman"/>
          <w:b/>
          <w:bCs/>
          <w:color w:val="auto"/>
          <w:kern w:val="2"/>
          <w:sz w:val="28"/>
          <w:szCs w:val="28"/>
          <w:highlight w:val="none"/>
          <w:lang w:val="en-US" w:eastAsia="zh-CN" w:bidi="ar-SA"/>
        </w:rPr>
        <w:t>杂石混合料</w:t>
      </w:r>
      <w:r>
        <w:rPr>
          <w:rFonts w:hint="default" w:ascii="Times New Roman" w:hAnsi="Times New Roman" w:eastAsia="华文仿宋" w:cs="Times New Roman"/>
          <w:b/>
          <w:bCs/>
          <w:color w:val="auto"/>
          <w:kern w:val="2"/>
          <w:sz w:val="28"/>
          <w:szCs w:val="28"/>
          <w:highlight w:val="none"/>
          <w:lang w:val="en-US" w:eastAsia="zh-CN" w:bidi="ar-SA"/>
        </w:rPr>
        <w:t>：</w:t>
      </w:r>
      <w:r>
        <w:rPr>
          <w:rFonts w:hint="eastAsia" w:ascii="Times New Roman" w:hAnsi="Times New Roman" w:eastAsia="华文仿宋" w:cs="Times New Roman"/>
          <w:b/>
          <w:bCs/>
          <w:color w:val="auto"/>
          <w:kern w:val="2"/>
          <w:sz w:val="28"/>
          <w:szCs w:val="28"/>
          <w:highlight w:val="none"/>
          <w:lang w:val="en-US" w:eastAsia="zh-CN" w:bidi="ar-SA"/>
        </w:rPr>
        <w:t>含有较多土质以及其他矿品的土石混合物，一般为SiO2＞4%，泥粉含量在40%～10%之间的单一矿品或多种矿品掺杂的土石混合物</w:t>
      </w:r>
      <w:r>
        <w:rPr>
          <w:rFonts w:hint="default" w:ascii="Times New Roman" w:hAnsi="Times New Roman" w:eastAsia="华文仿宋" w:cs="Times New Roman"/>
          <w:b/>
          <w:bCs/>
          <w:color w:val="auto"/>
          <w:kern w:val="2"/>
          <w:sz w:val="28"/>
          <w:szCs w:val="28"/>
          <w:highlight w:val="none"/>
          <w:lang w:val="en-US" w:eastAsia="zh-CN" w:bidi="ar-SA"/>
        </w:rPr>
        <w:t>，规格≤100cm</w:t>
      </w:r>
      <w:r>
        <w:rPr>
          <w:rFonts w:hint="eastAsia" w:ascii="Times New Roman" w:hAnsi="Times New Roman" w:eastAsia="华文仿宋" w:cs="Times New Roman"/>
          <w:b/>
          <w:bCs/>
          <w:color w:val="auto"/>
          <w:kern w:val="2"/>
          <w:sz w:val="28"/>
          <w:szCs w:val="28"/>
          <w:highlight w:val="none"/>
          <w:lang w:val="en-US" w:eastAsia="zh-CN" w:bidi="ar-SA"/>
        </w:rPr>
        <w:t>。</w:t>
      </w:r>
    </w:p>
    <w:p w14:paraId="2F0AA5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bCs/>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本次</w:t>
      </w:r>
      <w:r>
        <w:rPr>
          <w:rFonts w:hint="eastAsia" w:ascii="Times New Roman" w:hAnsi="Times New Roman" w:cs="Times New Roman"/>
          <w:color w:val="auto"/>
          <w:sz w:val="28"/>
          <w:szCs w:val="28"/>
          <w:highlight w:val="none"/>
          <w:lang w:val="en-US" w:eastAsia="zh-CN"/>
        </w:rPr>
        <w:t>竞售的料品</w:t>
      </w:r>
      <w:r>
        <w:rPr>
          <w:rFonts w:hint="eastAsia" w:ascii="Times New Roman" w:hAnsi="Times New Roman" w:cs="Times New Roman"/>
          <w:b/>
          <w:bCs/>
          <w:color w:val="auto"/>
          <w:sz w:val="28"/>
          <w:szCs w:val="28"/>
          <w:highlight w:val="none"/>
          <w:lang w:val="en-US" w:eastAsia="zh-CN"/>
        </w:rPr>
        <w:t>主要堆存于柯家村矿6号路堆场内，其他发料堆场由发包人根据需求指定。现场拉运作业须依照竞卖人指定的堆场、运输路径及相关要求规范实施。</w:t>
      </w:r>
      <w:r>
        <w:rPr>
          <w:rFonts w:hint="default" w:ascii="Times New Roman" w:hAnsi="Times New Roman" w:cs="Times New Roman"/>
          <w:color w:val="auto"/>
          <w:sz w:val="28"/>
          <w:szCs w:val="28"/>
          <w:highlight w:val="none"/>
          <w:lang w:val="en-US" w:eastAsia="zh-CN"/>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bCs/>
          <w:color w:val="auto"/>
          <w:sz w:val="28"/>
          <w:szCs w:val="28"/>
          <w:highlight w:val="none"/>
          <w:lang w:val="en-US" w:eastAsia="zh-CN"/>
        </w:rPr>
        <w:t>挖装过程不得挑拣。</w:t>
      </w:r>
    </w:p>
    <w:p w14:paraId="2D784D9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三、产品计量及提货</w:t>
      </w:r>
    </w:p>
    <w:p w14:paraId="46CFB48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1.计量方式：过磅计量（</w:t>
      </w:r>
      <w:r>
        <w:rPr>
          <w:rFonts w:hint="eastAsia" w:ascii="Times New Roman" w:hAnsi="Times New Roman" w:cs="Times New Roman"/>
          <w:color w:val="auto"/>
          <w:sz w:val="28"/>
          <w:szCs w:val="28"/>
          <w:highlight w:val="none"/>
          <w:lang w:val="en-US" w:eastAsia="zh-CN"/>
        </w:rPr>
        <w:t>在</w:t>
      </w:r>
      <w:r>
        <w:rPr>
          <w:rFonts w:hint="default" w:ascii="Times New Roman" w:hAnsi="Times New Roman" w:cs="Times New Roman"/>
          <w:color w:val="auto"/>
          <w:sz w:val="28"/>
          <w:szCs w:val="28"/>
          <w:highlight w:val="none"/>
          <w:lang w:val="en-US" w:eastAsia="zh-CN"/>
        </w:rPr>
        <w:t>竞卖人磅房处过磅）。</w:t>
      </w:r>
    </w:p>
    <w:p w14:paraId="2E3C252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2.结算量：</w:t>
      </w:r>
      <w:r>
        <w:rPr>
          <w:rFonts w:hint="eastAsia" w:ascii="Times New Roman" w:hAnsi="Times New Roman" w:cs="Times New Roman"/>
          <w:color w:val="auto"/>
          <w:sz w:val="28"/>
          <w:szCs w:val="28"/>
          <w:highlight w:val="none"/>
          <w:lang w:val="en-US" w:eastAsia="zh-CN"/>
        </w:rPr>
        <w:t>以竞卖人磅房实际过磅数量为准</w:t>
      </w:r>
      <w:r>
        <w:rPr>
          <w:rFonts w:hint="eastAsia" w:ascii="Times New Roman" w:hAnsi="Times New Roman" w:cs="Times New Roman"/>
          <w:b/>
          <w:bCs/>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双方共同签字确认</w:t>
      </w:r>
      <w:r>
        <w:rPr>
          <w:rFonts w:hint="default" w:ascii="Times New Roman" w:hAnsi="Times New Roman" w:cs="Times New Roman"/>
          <w:color w:val="auto"/>
          <w:sz w:val="28"/>
          <w:szCs w:val="28"/>
          <w:highlight w:val="none"/>
          <w:lang w:val="en-US" w:eastAsia="zh-CN"/>
        </w:rPr>
        <w:t>。</w:t>
      </w:r>
    </w:p>
    <w:p w14:paraId="03C4C2D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58" w:name="_Toc20742"/>
      <w:bookmarkStart w:id="59" w:name="_Toc1739"/>
      <w:r>
        <w:rPr>
          <w:rFonts w:hint="default" w:ascii="Times New Roman" w:hAnsi="Times New Roman" w:cs="Times New Roman"/>
          <w:color w:val="auto"/>
          <w:sz w:val="28"/>
          <w:szCs w:val="28"/>
          <w:highlight w:val="none"/>
          <w:lang w:val="en-US" w:eastAsia="zh-CN"/>
        </w:rPr>
        <w:t>3.提货地点：池州市东至县安徽交控东流新材料有限公司柯家村矿采矿区</w:t>
      </w:r>
      <w:r>
        <w:rPr>
          <w:rFonts w:hint="eastAsia" w:ascii="Times New Roman" w:hAnsi="Times New Roman" w:cs="Times New Roman"/>
          <w:b/>
          <w:bCs/>
          <w:color w:val="auto"/>
          <w:sz w:val="28"/>
          <w:szCs w:val="28"/>
          <w:highlight w:val="none"/>
          <w:lang w:val="en-US" w:eastAsia="zh-CN"/>
        </w:rPr>
        <w:t>指定堆场</w:t>
      </w:r>
      <w:r>
        <w:rPr>
          <w:rFonts w:hint="default" w:ascii="Times New Roman" w:hAnsi="Times New Roman" w:cs="Times New Roman"/>
          <w:color w:val="auto"/>
          <w:sz w:val="28"/>
          <w:szCs w:val="28"/>
          <w:highlight w:val="none"/>
          <w:lang w:val="en-US" w:eastAsia="zh-CN"/>
        </w:rPr>
        <w:t>。</w:t>
      </w:r>
    </w:p>
    <w:p w14:paraId="3BC07EDE">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4.提货作业方式：</w:t>
      </w:r>
      <w:r>
        <w:rPr>
          <w:rFonts w:hint="eastAsia" w:ascii="Times New Roman" w:hAnsi="Times New Roman" w:cs="Times New Roman"/>
          <w:color w:val="auto"/>
          <w:sz w:val="28"/>
          <w:szCs w:val="28"/>
          <w:highlight w:val="none"/>
          <w:lang w:val="en-US" w:eastAsia="zh-CN"/>
        </w:rPr>
        <w:t>由</w:t>
      </w:r>
      <w:r>
        <w:rPr>
          <w:rFonts w:hint="eastAsia" w:ascii="Times New Roman" w:hAnsi="Times New Roman" w:cs="Times New Roman"/>
          <w:b/>
          <w:bCs/>
          <w:color w:val="auto"/>
          <w:sz w:val="28"/>
          <w:szCs w:val="28"/>
          <w:highlight w:val="none"/>
          <w:lang w:val="en-US" w:eastAsia="zh-CN"/>
        </w:rPr>
        <w:t>竞卖人负责挖装，竞买人采用汽运自提的方式</w:t>
      </w:r>
      <w:r>
        <w:rPr>
          <w:rFonts w:hint="eastAsia" w:ascii="Times New Roman" w:hAnsi="Times New Roman" w:cs="Times New Roman"/>
          <w:color w:val="auto"/>
          <w:sz w:val="28"/>
          <w:szCs w:val="28"/>
          <w:highlight w:val="none"/>
          <w:lang w:val="en-US" w:eastAsia="zh-CN"/>
        </w:rPr>
        <w:t>完成料品的交付</w:t>
      </w:r>
      <w:r>
        <w:rPr>
          <w:rFonts w:hint="default" w:ascii="Times New Roman" w:hAnsi="Times New Roman" w:cs="Times New Roman"/>
          <w:color w:val="auto"/>
          <w:sz w:val="28"/>
          <w:szCs w:val="28"/>
          <w:highlight w:val="none"/>
          <w:lang w:val="en-US" w:eastAsia="zh-CN"/>
        </w:rPr>
        <w:t>。</w:t>
      </w:r>
    </w:p>
    <w:p w14:paraId="23279C1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四、提货须知</w:t>
      </w:r>
      <w:bookmarkEnd w:id="58"/>
      <w:bookmarkEnd w:id="59"/>
    </w:p>
    <w:p w14:paraId="44BC9766">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auto"/>
          <w:sz w:val="28"/>
          <w:szCs w:val="28"/>
          <w:highlight w:val="none"/>
          <w:lang w:val="en-US" w:eastAsia="zh-CN"/>
        </w:rPr>
      </w:pPr>
      <w:bookmarkStart w:id="60" w:name="_Toc11105"/>
      <w:bookmarkStart w:id="61" w:name="_Toc22088"/>
      <w:r>
        <w:rPr>
          <w:rFonts w:hint="default" w:ascii="Times New Roman" w:hAnsi="Times New Roman" w:cs="Times New Roman"/>
          <w:b/>
          <w:bCs/>
          <w:color w:val="auto"/>
          <w:sz w:val="28"/>
          <w:szCs w:val="28"/>
          <w:highlight w:val="none"/>
          <w:lang w:val="en-US" w:eastAsia="zh-CN"/>
        </w:rPr>
        <w:t>1.竞买人参与</w:t>
      </w:r>
      <w:r>
        <w:rPr>
          <w:rFonts w:hint="eastAsia" w:ascii="Times New Roman" w:hAnsi="Times New Roman" w:cs="Times New Roman"/>
          <w:b/>
          <w:bCs/>
          <w:color w:val="auto"/>
          <w:sz w:val="28"/>
          <w:szCs w:val="28"/>
          <w:highlight w:val="none"/>
          <w:lang w:val="en-US" w:eastAsia="zh-CN"/>
        </w:rPr>
        <w:t>此次竞售，</w:t>
      </w:r>
      <w:r>
        <w:rPr>
          <w:rFonts w:hint="default" w:ascii="Times New Roman" w:hAnsi="Times New Roman" w:cs="Times New Roman"/>
          <w:b/>
          <w:bCs/>
          <w:color w:val="auto"/>
          <w:sz w:val="28"/>
          <w:szCs w:val="28"/>
          <w:highlight w:val="none"/>
          <w:lang w:val="en-US" w:eastAsia="zh-CN"/>
        </w:rPr>
        <w:t>视为已对矿山出场道路及矿山范围外运输道路路况进行了充分了解，后期竞买人不得以道路运输能力向竞卖人提出异议</w:t>
      </w:r>
      <w:r>
        <w:rPr>
          <w:rFonts w:hint="eastAsia" w:ascii="Times New Roman" w:hAnsi="Times New Roman" w:cs="Times New Roman"/>
          <w:b/>
          <w:bCs/>
          <w:color w:val="auto"/>
          <w:sz w:val="28"/>
          <w:szCs w:val="28"/>
          <w:highlight w:val="none"/>
          <w:lang w:val="en-US" w:eastAsia="zh-CN"/>
        </w:rPr>
        <w:t>。</w:t>
      </w:r>
    </w:p>
    <w:p w14:paraId="3BE6EB44">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eastAsia="zh-CN"/>
        </w:rPr>
      </w:pPr>
      <w:r>
        <w:rPr>
          <w:rFonts w:hint="default" w:ascii="Times New Roman" w:hAnsi="Times New Roman" w:cs="Times New Roman"/>
          <w:color w:val="auto"/>
          <w:sz w:val="28"/>
          <w:szCs w:val="28"/>
          <w:highlight w:val="none"/>
          <w:lang w:val="en-US" w:eastAsia="zh-CN"/>
        </w:rPr>
        <w:t>2.竞得人在取得成交通知书之日起2个工作日内，持成交通知书与竞卖人签订购销合同，具体装载时间以竞卖人通知为准。</w:t>
      </w:r>
    </w:p>
    <w:p w14:paraId="664B911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3.矿区内装运及过磅须服从竞卖人统一管理、遵守竞卖人现场管理制度。</w:t>
      </w:r>
    </w:p>
    <w:p w14:paraId="3F5BB1F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本期对竞得人提货进度履约情况进行考核，具体如下：</w:t>
      </w:r>
    </w:p>
    <w:p w14:paraId="3F3838B5">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在合同约定的清运时间内：</w:t>
      </w:r>
    </w:p>
    <w:p w14:paraId="5211C1E5">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（1）竞得人完成提货量为合同交易量80%（含）以上时，不视为竞得人违约；</w:t>
      </w:r>
    </w:p>
    <w:p w14:paraId="5162FE30">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2）竞得人完成提货量为合同交易量50%（含）~80%时，视为竞得人违约，须承担迟滞提货违约金，迟滞提货违约金计算标准：（合同交易量-累计提货量）×2元/吨，迟滞违约金从履约保证金中扣除，保证金不足的乙方需补交；</w:t>
      </w:r>
    </w:p>
    <w:p w14:paraId="44C73F5F">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2C595831">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auto"/>
          <w:sz w:val="28"/>
          <w:szCs w:val="28"/>
          <w:highlight w:val="none"/>
          <w:lang w:val="en-US" w:eastAsia="zh-CN"/>
        </w:rPr>
      </w:pPr>
      <w:r>
        <w:rPr>
          <w:rFonts w:hint="eastAsia" w:ascii="Times New Roman" w:hAnsi="Times New Roman" w:cs="Times New Roman"/>
          <w:b/>
          <w:bCs/>
          <w:color w:val="auto"/>
          <w:sz w:val="28"/>
          <w:szCs w:val="28"/>
          <w:highlight w:val="none"/>
          <w:lang w:val="en-US" w:eastAsia="zh-CN"/>
        </w:rPr>
        <w:t>（4）</w:t>
      </w:r>
      <w:r>
        <w:rPr>
          <w:rFonts w:hint="default" w:ascii="Times New Roman" w:hAnsi="Times New Roman" w:cs="Times New Roman"/>
          <w:b/>
          <w:bCs/>
          <w:color w:val="auto"/>
          <w:sz w:val="28"/>
          <w:szCs w:val="28"/>
          <w:highlight w:val="none"/>
          <w:lang w:val="en-US" w:eastAsia="zh-CN"/>
        </w:rPr>
        <w:t>因恶劣天气及特殊情况因素影响，导致清运周期内竞得人未按合同数量清运完成，</w:t>
      </w:r>
      <w:r>
        <w:rPr>
          <w:rFonts w:hint="eastAsia" w:ascii="Times New Roman" w:hAnsi="Times New Roman" w:cs="Times New Roman"/>
          <w:b/>
          <w:bCs/>
          <w:color w:val="auto"/>
          <w:sz w:val="28"/>
          <w:szCs w:val="28"/>
          <w:highlight w:val="none"/>
          <w:lang w:val="en-US" w:eastAsia="zh-CN"/>
        </w:rPr>
        <w:t>经甲方同意后</w:t>
      </w:r>
      <w:r>
        <w:rPr>
          <w:rFonts w:hint="default" w:ascii="Times New Roman" w:hAnsi="Times New Roman" w:cs="Times New Roman"/>
          <w:b/>
          <w:bCs/>
          <w:color w:val="auto"/>
          <w:sz w:val="28"/>
          <w:szCs w:val="28"/>
          <w:highlight w:val="none"/>
          <w:lang w:val="en-US" w:eastAsia="zh-CN"/>
        </w:rPr>
        <w:t>清运周期予以顺延。</w:t>
      </w:r>
    </w:p>
    <w:p w14:paraId="3527527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.竞得人须按竞卖人指定路线，将竞价销售产品在竞卖人矿区</w:t>
      </w:r>
      <w:r>
        <w:rPr>
          <w:rFonts w:hint="eastAsia" w:ascii="Times New Roman" w:hAnsi="Times New Roman" w:cs="Times New Roman"/>
          <w:color w:val="auto"/>
          <w:sz w:val="28"/>
          <w:szCs w:val="28"/>
          <w:highlight w:val="none"/>
          <w:lang w:val="en-US" w:eastAsia="zh-CN"/>
        </w:rPr>
        <w:t>自建磅房</w:t>
      </w:r>
      <w:r>
        <w:rPr>
          <w:rFonts w:hint="default" w:ascii="Times New Roman" w:hAnsi="Times New Roman" w:cs="Times New Roman"/>
          <w:color w:val="auto"/>
          <w:sz w:val="28"/>
          <w:szCs w:val="28"/>
          <w:highlight w:val="none"/>
          <w:lang w:val="en-US" w:eastAsia="zh-CN"/>
        </w:rPr>
        <w:t>过磅后出场。</w:t>
      </w:r>
    </w:p>
    <w:p w14:paraId="7865126A">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eastAsia" w:ascii="Times New Roman" w:hAnsi="Times New Roman" w:cs="Times New Roman"/>
          <w:b w:val="0"/>
          <w:bCs/>
          <w:color w:val="auto"/>
          <w:sz w:val="28"/>
          <w:szCs w:val="28"/>
          <w:highlight w:val="none"/>
          <w:lang w:val="en-US" w:eastAsia="zh-CN"/>
        </w:rPr>
      </w:pPr>
      <w:r>
        <w:rPr>
          <w:rFonts w:hint="eastAsia" w:ascii="Times New Roman" w:hAnsi="Times New Roman" w:cs="Times New Roman"/>
          <w:b w:val="0"/>
          <w:bCs/>
          <w:color w:val="auto"/>
          <w:sz w:val="28"/>
          <w:szCs w:val="28"/>
          <w:highlight w:val="none"/>
          <w:lang w:val="en-US" w:eastAsia="zh-CN"/>
        </w:rPr>
        <w:t>6.竞价销售产品交易量以双方确认的实际累计过磅量为准（不超过合同标的数量的2%）。</w:t>
      </w:r>
    </w:p>
    <w:p w14:paraId="41F98E4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eastAsia" w:ascii="Times New Roman" w:hAnsi="Times New Roman" w:cs="Times New Roman"/>
          <w:b w:val="0"/>
          <w:bCs/>
          <w:color w:val="auto"/>
          <w:sz w:val="28"/>
          <w:szCs w:val="28"/>
          <w:highlight w:val="none"/>
          <w:lang w:val="en-US" w:eastAsia="zh-CN"/>
        </w:rPr>
      </w:pPr>
      <w:r>
        <w:rPr>
          <w:rFonts w:hint="eastAsia" w:ascii="Times New Roman" w:hAnsi="Times New Roman" w:cs="Times New Roman"/>
          <w:b w:val="0"/>
          <w:bCs/>
          <w:color w:val="auto"/>
          <w:sz w:val="28"/>
          <w:szCs w:val="28"/>
          <w:highlight w:val="none"/>
          <w:lang w:val="en-US" w:eastAsia="zh-CN"/>
        </w:rPr>
        <w:t>7.竞得人除应遵守国家相关法律法规及行业相关规定外，还应服从竞卖人及矿山相关管理规定，竞得人须保证其进入矿区内人员的人身及财产安全，如发生相关责任事故，产生的损失由竞得人自行承担。</w:t>
      </w:r>
    </w:p>
    <w:p w14:paraId="276A0CED">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五、竞买人资格要求</w:t>
      </w:r>
      <w:bookmarkEnd w:id="60"/>
      <w:bookmarkEnd w:id="61"/>
    </w:p>
    <w:p w14:paraId="2ABDE07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竞买人资格要求均如下：</w:t>
      </w:r>
    </w:p>
    <w:p w14:paraId="5CDFD858">
      <w:pPr>
        <w:keepNext w:val="0"/>
        <w:keepLines w:val="0"/>
        <w:pageBreakBefore w:val="0"/>
        <w:widowControl w:val="0"/>
        <w:kinsoku/>
        <w:wordWrap w:val="0"/>
        <w:overflowPunct/>
        <w:topLinePunct/>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1.竞买人须具有良好的社会信誉，未被国家相关机构列入失信企业</w:t>
      </w:r>
      <w:r>
        <w:rPr>
          <w:rFonts w:hint="eastAsia" w:ascii="Times New Roman" w:hAnsi="Times New Roman" w:cs="Times New Roman"/>
          <w:color w:val="auto"/>
          <w:sz w:val="28"/>
          <w:szCs w:val="28"/>
          <w:highlight w:val="none"/>
          <w:lang w:val="en-US" w:eastAsia="zh-CN"/>
        </w:rPr>
        <w:t>或</w:t>
      </w:r>
      <w:r>
        <w:rPr>
          <w:rFonts w:hint="default" w:ascii="Times New Roman" w:hAnsi="Times New Roman" w:cs="Times New Roman"/>
          <w:color w:val="auto"/>
          <w:sz w:val="28"/>
          <w:szCs w:val="28"/>
          <w:highlight w:val="none"/>
          <w:lang w:val="en-US" w:eastAsia="zh-CN"/>
        </w:rPr>
        <w:t>失信人名单的企业法人（以竞价现场“信用中国”网站www.creditchina.gov.cn查询结果为准）。</w:t>
      </w:r>
    </w:p>
    <w:p w14:paraId="0338E79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2.竞买人须提供以下资料进行报名登记</w:t>
      </w:r>
    </w:p>
    <w:p w14:paraId="1019C1C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（1）营业执照复印件；</w:t>
      </w:r>
    </w:p>
    <w:p w14:paraId="27C4F00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（2）法定代表人身份证复印件；</w:t>
      </w:r>
    </w:p>
    <w:p w14:paraId="4A94BDC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注：复印件需加盖公章且不予退还。</w:t>
      </w:r>
    </w:p>
    <w:p w14:paraId="407CC6B7">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2" w:name="_Toc19331"/>
      <w:bookmarkStart w:id="63" w:name="_Toc6966"/>
      <w:r>
        <w:rPr>
          <w:rFonts w:hint="default" w:ascii="Times New Roman" w:hAnsi="Times New Roman" w:eastAsia="黑体" w:cs="Times New Roman"/>
          <w:b w:val="0"/>
          <w:bCs/>
          <w:color w:val="auto"/>
          <w:sz w:val="28"/>
          <w:szCs w:val="28"/>
          <w:highlight w:val="none"/>
          <w:lang w:val="en-US" w:eastAsia="zh-CN"/>
        </w:rPr>
        <w:t>六、</w:t>
      </w:r>
      <w:r>
        <w:rPr>
          <w:rFonts w:hint="default" w:ascii="Times New Roman" w:hAnsi="Times New Roman" w:eastAsia="黑体" w:cs="Times New Roman"/>
          <w:b w:val="0"/>
          <w:bCs/>
          <w:color w:val="auto"/>
          <w:sz w:val="28"/>
          <w:szCs w:val="28"/>
          <w:highlight w:val="none"/>
        </w:rPr>
        <w:t>竞买保证金</w:t>
      </w:r>
      <w:bookmarkEnd w:id="62"/>
      <w:bookmarkEnd w:id="63"/>
    </w:p>
    <w:p w14:paraId="28775D5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1.竞买保证金交纳</w:t>
      </w:r>
    </w:p>
    <w:p w14:paraId="45A7103D">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bCs/>
          <w:color w:val="auto"/>
          <w:sz w:val="28"/>
          <w:szCs w:val="28"/>
          <w:highlight w:val="none"/>
          <w:lang w:val="en-US" w:eastAsia="zh-CN"/>
        </w:rPr>
        <w:t>本次竞买保证金为（人民币小写）：</w:t>
      </w:r>
      <w:r>
        <w:rPr>
          <w:rFonts w:hint="eastAsia" w:ascii="Times New Roman" w:hAnsi="Times New Roman" w:cs="Times New Roman"/>
          <w:b/>
          <w:bCs/>
          <w:color w:val="auto"/>
          <w:sz w:val="28"/>
          <w:szCs w:val="28"/>
          <w:highlight w:val="none"/>
          <w:u w:val="single"/>
          <w:lang w:val="en-US" w:eastAsia="zh-CN"/>
        </w:rPr>
        <w:t>6</w:t>
      </w:r>
      <w:r>
        <w:rPr>
          <w:rFonts w:hint="default" w:ascii="Times New Roman" w:hAnsi="Times New Roman" w:cs="Times New Roman"/>
          <w:b/>
          <w:bCs/>
          <w:color w:val="auto"/>
          <w:sz w:val="28"/>
          <w:szCs w:val="28"/>
          <w:highlight w:val="none"/>
          <w:lang w:val="en-US" w:eastAsia="zh-CN"/>
        </w:rPr>
        <w:t>万元，</w:t>
      </w:r>
      <w:r>
        <w:rPr>
          <w:rFonts w:hint="default" w:ascii="Times New Roman" w:hAnsi="Times New Roman" w:cs="Times New Roman"/>
          <w:color w:val="auto"/>
          <w:sz w:val="28"/>
          <w:szCs w:val="28"/>
          <w:highlight w:val="none"/>
          <w:lang w:val="en-US" w:eastAsia="zh-CN"/>
        </w:rPr>
        <w:t>拟参加本次竞价的竞买人须在竞价评审时间前将竞买保证金汇至竞卖人指定收款账户（汇款人名称须与竞买人名称一致），</w:t>
      </w:r>
      <w:r>
        <w:rPr>
          <w:rFonts w:hint="default" w:ascii="Times New Roman" w:hAnsi="Times New Roman" w:cs="Times New Roman"/>
          <w:b/>
          <w:bCs/>
          <w:color w:val="auto"/>
          <w:sz w:val="28"/>
          <w:szCs w:val="28"/>
          <w:highlight w:val="none"/>
          <w:lang w:val="en-US" w:eastAsia="zh-CN"/>
        </w:rPr>
        <w:t>并备注资金使用用途</w:t>
      </w:r>
      <w:r>
        <w:rPr>
          <w:rFonts w:hint="eastAsia" w:ascii="Times New Roman" w:hAnsi="Times New Roman" w:cs="Times New Roman"/>
          <w:b/>
          <w:bCs/>
          <w:color w:val="auto"/>
          <w:sz w:val="28"/>
          <w:szCs w:val="28"/>
          <w:highlight w:val="none"/>
          <w:lang w:val="en-US" w:eastAsia="zh-CN"/>
        </w:rPr>
        <w:t>（第六期杂石混合料竞价保证金）</w:t>
      </w:r>
      <w:r>
        <w:rPr>
          <w:rFonts w:hint="default" w:ascii="Times New Roman" w:hAnsi="Times New Roman" w:cs="Times New Roman"/>
          <w:b/>
          <w:bCs/>
          <w:color w:val="auto"/>
          <w:sz w:val="28"/>
          <w:szCs w:val="28"/>
          <w:highlight w:val="none"/>
          <w:lang w:val="en-US" w:eastAsia="zh-CN"/>
        </w:rPr>
        <w:t>。</w:t>
      </w:r>
    </w:p>
    <w:p w14:paraId="5B03179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保证金交纳账户如下：</w:t>
      </w:r>
    </w:p>
    <w:p w14:paraId="3E35C98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账户名：安徽交控东流新材料有限公司</w:t>
      </w:r>
    </w:p>
    <w:p w14:paraId="6B7490F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账号：188770253881</w:t>
      </w:r>
    </w:p>
    <w:p w14:paraId="374F9C7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bookmarkStart w:id="64" w:name="_Toc2627"/>
      <w:bookmarkStart w:id="65" w:name="_Toc28440"/>
      <w:r>
        <w:rPr>
          <w:rFonts w:hint="default" w:ascii="Times New Roman" w:hAnsi="Times New Roman" w:cs="Times New Roman"/>
          <w:color w:val="auto"/>
          <w:sz w:val="28"/>
          <w:szCs w:val="28"/>
          <w:highlight w:val="none"/>
          <w:lang w:val="en-US" w:eastAsia="zh-CN"/>
        </w:rPr>
        <w:t>中国银行股份有限公司东至支行</w:t>
      </w:r>
    </w:p>
    <w:p w14:paraId="64A0753F">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2.竞买保证金退付</w:t>
      </w:r>
      <w:bookmarkEnd w:id="64"/>
      <w:bookmarkEnd w:id="65"/>
    </w:p>
    <w:p w14:paraId="074EA0D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取得竞得人资格的竞买人签订购销合同后，其竞买保证金自动转为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货款。未取得竞得人资格的竞买人，其竞买保证金在确定竞得人之日起5个工作日内予以无息退还。</w:t>
      </w:r>
    </w:p>
    <w:p w14:paraId="2B28B31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6" w:name="_Toc30094"/>
      <w:bookmarkStart w:id="67" w:name="_Toc16395"/>
      <w:r>
        <w:rPr>
          <w:rFonts w:hint="default" w:ascii="Times New Roman" w:hAnsi="Times New Roman" w:eastAsia="黑体" w:cs="Times New Roman"/>
          <w:b w:val="0"/>
          <w:bCs/>
          <w:color w:val="auto"/>
          <w:sz w:val="28"/>
          <w:szCs w:val="28"/>
          <w:highlight w:val="none"/>
          <w:lang w:val="en-US" w:eastAsia="zh-CN"/>
        </w:rPr>
        <w:t>七、</w:t>
      </w:r>
      <w:r>
        <w:rPr>
          <w:rFonts w:hint="default" w:ascii="Times New Roman" w:hAnsi="Times New Roman" w:eastAsia="黑体" w:cs="Times New Roman"/>
          <w:b w:val="0"/>
          <w:bCs/>
          <w:color w:val="auto"/>
          <w:sz w:val="28"/>
          <w:szCs w:val="28"/>
          <w:highlight w:val="none"/>
        </w:rPr>
        <w:t>竞价评审时间、地点</w:t>
      </w:r>
      <w:bookmarkEnd w:id="66"/>
      <w:bookmarkEnd w:id="67"/>
    </w:p>
    <w:p w14:paraId="504A319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竞价评审时间：</w:t>
      </w:r>
      <w:r>
        <w:rPr>
          <w:rFonts w:hint="default" w:ascii="Times New Roman" w:hAnsi="Times New Roman" w:cs="Times New Roman"/>
          <w:b/>
          <w:bCs/>
          <w:color w:val="auto"/>
          <w:sz w:val="28"/>
          <w:szCs w:val="28"/>
          <w:highlight w:val="none"/>
          <w:lang w:val="en-US" w:eastAsia="zh-CN"/>
        </w:rPr>
        <w:t>202</w:t>
      </w:r>
      <w:r>
        <w:rPr>
          <w:rFonts w:hint="eastAsia" w:ascii="Times New Roman" w:hAnsi="Times New Roman" w:cs="Times New Roman"/>
          <w:b/>
          <w:bCs/>
          <w:color w:val="auto"/>
          <w:sz w:val="28"/>
          <w:szCs w:val="28"/>
          <w:highlight w:val="none"/>
          <w:lang w:val="en-US" w:eastAsia="zh-CN"/>
        </w:rPr>
        <w:t>5</w:t>
      </w:r>
      <w:r>
        <w:rPr>
          <w:rFonts w:hint="default" w:ascii="Times New Roman" w:hAnsi="Times New Roman" w:cs="Times New Roman"/>
          <w:b/>
          <w:bCs/>
          <w:color w:val="auto"/>
          <w:sz w:val="28"/>
          <w:szCs w:val="28"/>
          <w:highlight w:val="none"/>
          <w:lang w:val="en-US" w:eastAsia="zh-CN"/>
        </w:rPr>
        <w:t>年</w:t>
      </w:r>
      <w:r>
        <w:rPr>
          <w:rFonts w:hint="eastAsia" w:ascii="Times New Roman" w:hAnsi="Times New Roman" w:cs="Times New Roman"/>
          <w:b/>
          <w:bCs/>
          <w:color w:val="auto"/>
          <w:sz w:val="28"/>
          <w:szCs w:val="28"/>
          <w:highlight w:val="none"/>
          <w:lang w:val="en-US" w:eastAsia="zh-CN"/>
        </w:rPr>
        <w:t>7月5日15时00分</w:t>
      </w:r>
    </w:p>
    <w:p w14:paraId="72AF975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竞价地点：</w:t>
      </w:r>
      <w:r>
        <w:rPr>
          <w:rFonts w:hint="default" w:ascii="Times New Roman" w:hAnsi="Times New Roman" w:cs="Times New Roman"/>
          <w:b/>
          <w:bCs/>
          <w:color w:val="auto"/>
          <w:sz w:val="28"/>
          <w:szCs w:val="28"/>
          <w:highlight w:val="none"/>
          <w:lang w:val="en-US" w:eastAsia="zh-CN"/>
        </w:rPr>
        <w:t>安徽省池州市东至县东流镇安徽交控东流新材料有限公司</w:t>
      </w:r>
      <w:r>
        <w:rPr>
          <w:rFonts w:hint="eastAsia" w:ascii="Times New Roman" w:hAnsi="Times New Roman" w:cs="Times New Roman"/>
          <w:b/>
          <w:bCs/>
          <w:color w:val="auto"/>
          <w:sz w:val="28"/>
          <w:szCs w:val="28"/>
          <w:highlight w:val="none"/>
          <w:lang w:val="en-US" w:eastAsia="zh-CN"/>
        </w:rPr>
        <w:t>三楼</w:t>
      </w:r>
      <w:r>
        <w:rPr>
          <w:rFonts w:hint="default" w:ascii="Times New Roman" w:hAnsi="Times New Roman" w:cs="Times New Roman"/>
          <w:b/>
          <w:bCs/>
          <w:color w:val="auto"/>
          <w:sz w:val="28"/>
          <w:szCs w:val="28"/>
          <w:highlight w:val="none"/>
          <w:lang w:val="en-US" w:eastAsia="zh-CN"/>
        </w:rPr>
        <w:t>会议室。</w:t>
      </w:r>
    </w:p>
    <w:p w14:paraId="13C853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8" w:name="_Toc14232"/>
      <w:bookmarkStart w:id="69" w:name="_Toc26026"/>
      <w:r>
        <w:rPr>
          <w:rFonts w:hint="default" w:ascii="Times New Roman" w:hAnsi="Times New Roman" w:eastAsia="黑体" w:cs="Times New Roman"/>
          <w:b w:val="0"/>
          <w:bCs/>
          <w:color w:val="auto"/>
          <w:sz w:val="28"/>
          <w:szCs w:val="28"/>
          <w:highlight w:val="none"/>
          <w:lang w:val="en-US" w:eastAsia="zh-CN"/>
        </w:rPr>
        <w:t>八、</w:t>
      </w:r>
      <w:r>
        <w:rPr>
          <w:rFonts w:hint="default" w:ascii="Times New Roman" w:hAnsi="Times New Roman" w:eastAsia="黑体" w:cs="Times New Roman"/>
          <w:b w:val="0"/>
          <w:bCs/>
          <w:color w:val="auto"/>
          <w:sz w:val="28"/>
          <w:szCs w:val="28"/>
          <w:highlight w:val="none"/>
        </w:rPr>
        <w:t>竞买人竞价资料提供</w:t>
      </w:r>
      <w:bookmarkEnd w:id="68"/>
      <w:bookmarkEnd w:id="69"/>
    </w:p>
    <w:p w14:paraId="7F68B41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1.应提交的资料：</w:t>
      </w:r>
    </w:p>
    <w:p w14:paraId="638476D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（1）企业营业执照复印件；</w:t>
      </w:r>
    </w:p>
    <w:p w14:paraId="7A23202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（2）法定代表人身份证复印件或法定代表人授权委托书原件；</w:t>
      </w:r>
    </w:p>
    <w:p w14:paraId="3997C6F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（3）《竞价交易承诺书》原件；</w:t>
      </w:r>
    </w:p>
    <w:p w14:paraId="181FDB2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（4）《竞买保证金汇款回执单》复印件；</w:t>
      </w:r>
    </w:p>
    <w:p w14:paraId="5DBCAC2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（5）《竞价报价单》原件；</w:t>
      </w:r>
    </w:p>
    <w:p w14:paraId="61E6C1B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（6）公司印章（最终报价使用）；</w:t>
      </w:r>
    </w:p>
    <w:p w14:paraId="0C56BC0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w:t>
      </w: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）购买</w:t>
      </w:r>
      <w:r>
        <w:rPr>
          <w:rFonts w:hint="eastAsia" w:ascii="Times New Roman" w:hAnsi="Times New Roman" w:cs="Times New Roman"/>
          <w:color w:val="auto"/>
          <w:sz w:val="28"/>
          <w:szCs w:val="28"/>
          <w:highlight w:val="none"/>
          <w:lang w:val="en-US" w:eastAsia="zh-CN"/>
        </w:rPr>
        <w:t>毛石</w:t>
      </w:r>
      <w:r>
        <w:rPr>
          <w:rFonts w:hint="default" w:ascii="Times New Roman" w:hAnsi="Times New Roman" w:cs="Times New Roman"/>
          <w:color w:val="auto"/>
          <w:sz w:val="28"/>
          <w:szCs w:val="28"/>
          <w:highlight w:val="none"/>
          <w:lang w:val="en-US" w:eastAsia="zh-CN"/>
        </w:rPr>
        <w:t>在本地生产加工的，需提交具有合法生产加工手续的承诺函（详见附件）。</w:t>
      </w:r>
    </w:p>
    <w:p w14:paraId="5B508FE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竞买人提供的上述资料需按竞价文件要求加盖公章并签署法定代表人（或授权委托代理人）姓名后递交；竞价截止时间后，未递交的材料不予接收，已递交的资料不予撤回和修改。</w:t>
      </w:r>
    </w:p>
    <w:p w14:paraId="7F4FC0BE">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2.资料递交的方式及地点：</w:t>
      </w:r>
    </w:p>
    <w:p w14:paraId="40A348C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（1）现场递交：</w:t>
      </w:r>
      <w:r>
        <w:rPr>
          <w:rFonts w:hint="default" w:ascii="Times New Roman" w:hAnsi="Times New Roman" w:cs="Times New Roman"/>
          <w:color w:val="auto"/>
          <w:sz w:val="28"/>
          <w:szCs w:val="28"/>
          <w:highlight w:val="none"/>
          <w:lang w:val="en-US" w:eastAsia="zh-CN"/>
        </w:rPr>
        <w:t>通过现场递交的竞买人须由法定代表人或授权委托代理人将上述资料在202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7月5日15时00分</w:t>
      </w:r>
      <w:r>
        <w:rPr>
          <w:rFonts w:hint="default" w:ascii="Times New Roman" w:hAnsi="Times New Roman" w:cs="Times New Roman"/>
          <w:color w:val="auto"/>
          <w:sz w:val="28"/>
          <w:szCs w:val="28"/>
          <w:highlight w:val="none"/>
          <w:lang w:val="en-US" w:eastAsia="zh-CN"/>
        </w:rPr>
        <w:t>之前递交至安徽省池州市东至县东流镇安徽交控东流新材料有限公司</w:t>
      </w:r>
      <w:r>
        <w:rPr>
          <w:rFonts w:hint="eastAsia" w:ascii="Times New Roman" w:hAnsi="Times New Roman" w:cs="Times New Roman"/>
          <w:color w:val="auto"/>
          <w:sz w:val="28"/>
          <w:szCs w:val="28"/>
          <w:highlight w:val="none"/>
          <w:lang w:val="en-US" w:eastAsia="zh-CN"/>
        </w:rPr>
        <w:t>三楼</w:t>
      </w:r>
      <w:r>
        <w:rPr>
          <w:rFonts w:hint="default" w:ascii="Times New Roman" w:hAnsi="Times New Roman" w:cs="Times New Roman"/>
          <w:color w:val="auto"/>
          <w:sz w:val="28"/>
          <w:szCs w:val="28"/>
          <w:highlight w:val="none"/>
          <w:lang w:val="en-US" w:eastAsia="zh-CN"/>
        </w:rPr>
        <w:t>会议室。</w:t>
      </w:r>
    </w:p>
    <w:p w14:paraId="5707577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（2）邮寄递交：</w:t>
      </w:r>
      <w:r>
        <w:rPr>
          <w:rFonts w:hint="default" w:ascii="Times New Roman" w:hAnsi="Times New Roman" w:cs="Times New Roman"/>
          <w:color w:val="auto"/>
          <w:sz w:val="28"/>
          <w:szCs w:val="28"/>
          <w:highlight w:val="none"/>
          <w:lang w:val="en-US" w:eastAsia="zh-CN"/>
        </w:rPr>
        <w:t>采用邮寄方式递交竞价文件的竞买人应确保在202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7月5日15时00分</w:t>
      </w:r>
      <w:r>
        <w:rPr>
          <w:rFonts w:hint="default" w:ascii="Times New Roman" w:hAnsi="Times New Roman" w:cs="Times New Roman"/>
          <w:color w:val="auto"/>
          <w:sz w:val="28"/>
          <w:szCs w:val="28"/>
          <w:highlight w:val="none"/>
          <w:lang w:val="en-US" w:eastAsia="zh-CN"/>
        </w:rPr>
        <w:t>之前，将竞价文件送达安徽交控东流新材料有限公司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部。邮寄地址：安徽省池州市东至县东流镇安徽交控东流新材料有限公司，签收人：吴先生13156590425/陈女士18712342028。</w:t>
      </w:r>
    </w:p>
    <w:p w14:paraId="7F77C08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0" w:name="_Toc738"/>
      <w:bookmarkStart w:id="71" w:name="_Toc14731"/>
      <w:r>
        <w:rPr>
          <w:rFonts w:hint="default" w:ascii="Times New Roman" w:hAnsi="Times New Roman" w:eastAsia="黑体" w:cs="Times New Roman"/>
          <w:b w:val="0"/>
          <w:bCs/>
          <w:color w:val="auto"/>
          <w:sz w:val="28"/>
          <w:szCs w:val="28"/>
          <w:highlight w:val="none"/>
          <w:lang w:val="en-US" w:eastAsia="zh-CN"/>
        </w:rPr>
        <w:t>九、</w:t>
      </w:r>
      <w:r>
        <w:rPr>
          <w:rFonts w:hint="default" w:ascii="Times New Roman" w:hAnsi="Times New Roman" w:eastAsia="黑体" w:cs="Times New Roman"/>
          <w:b w:val="0"/>
          <w:bCs/>
          <w:color w:val="auto"/>
          <w:sz w:val="28"/>
          <w:szCs w:val="28"/>
          <w:highlight w:val="none"/>
        </w:rPr>
        <w:t>竞价评审</w:t>
      </w:r>
      <w:r>
        <w:rPr>
          <w:rFonts w:hint="default" w:ascii="Times New Roman" w:hAnsi="Times New Roman" w:eastAsia="黑体" w:cs="Times New Roman"/>
          <w:b w:val="0"/>
          <w:bCs/>
          <w:color w:val="auto"/>
          <w:sz w:val="28"/>
          <w:szCs w:val="28"/>
          <w:highlight w:val="none"/>
          <w:lang w:val="en-US" w:eastAsia="zh-CN"/>
        </w:rPr>
        <w:t>流程及</w:t>
      </w:r>
      <w:r>
        <w:rPr>
          <w:rFonts w:hint="default" w:ascii="Times New Roman" w:hAnsi="Times New Roman" w:eastAsia="黑体" w:cs="Times New Roman"/>
          <w:b w:val="0"/>
          <w:bCs/>
          <w:color w:val="auto"/>
          <w:sz w:val="28"/>
          <w:szCs w:val="28"/>
          <w:highlight w:val="none"/>
        </w:rPr>
        <w:t>原则</w:t>
      </w:r>
      <w:bookmarkEnd w:id="70"/>
      <w:bookmarkEnd w:id="71"/>
    </w:p>
    <w:p w14:paraId="09230C9D">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1.标前登记</w:t>
      </w:r>
    </w:p>
    <w:p w14:paraId="167288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558965FE">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2.唱标</w:t>
      </w:r>
    </w:p>
    <w:p w14:paraId="2535459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开标后，唱标人对登记在册</w:t>
      </w:r>
      <w:r>
        <w:rPr>
          <w:rFonts w:hint="default" w:ascii="Times New Roman" w:hAnsi="Times New Roman" w:cs="Times New Roman"/>
          <w:color w:val="auto"/>
          <w:kern w:val="2"/>
          <w:sz w:val="28"/>
          <w:szCs w:val="28"/>
          <w:highlight w:val="none"/>
          <w:lang w:val="en-US" w:eastAsia="zh-CN" w:bidi="ar-SA"/>
        </w:rPr>
        <w:t>的</w:t>
      </w:r>
      <w:r>
        <w:rPr>
          <w:rFonts w:hint="default" w:ascii="Times New Roman" w:hAnsi="Times New Roman" w:eastAsia="华文仿宋" w:cs="Times New Roman"/>
          <w:color w:val="auto"/>
          <w:kern w:val="2"/>
          <w:sz w:val="28"/>
          <w:szCs w:val="28"/>
          <w:highlight w:val="none"/>
          <w:lang w:val="en-US" w:eastAsia="zh-CN" w:bidi="ar-SA"/>
        </w:rPr>
        <w:t>竞标文件按时间先后顺序依次拆封并报价，</w:t>
      </w:r>
      <w:r>
        <w:rPr>
          <w:rFonts w:hint="default" w:ascii="Times New Roman" w:hAnsi="Times New Roman" w:cs="Times New Roman"/>
          <w:color w:val="auto"/>
          <w:kern w:val="2"/>
          <w:sz w:val="28"/>
          <w:szCs w:val="28"/>
          <w:highlight w:val="none"/>
          <w:lang w:val="en-US" w:eastAsia="zh-CN" w:bidi="ar-SA"/>
        </w:rPr>
        <w:t>记录人员详细记录，</w:t>
      </w:r>
      <w:r>
        <w:rPr>
          <w:rFonts w:hint="default" w:ascii="Times New Roman" w:hAnsi="Times New Roman" w:eastAsia="华文仿宋" w:cs="Times New Roman"/>
          <w:color w:val="auto"/>
          <w:kern w:val="2"/>
          <w:sz w:val="28"/>
          <w:szCs w:val="28"/>
          <w:highlight w:val="none"/>
          <w:lang w:val="en-US" w:eastAsia="zh-CN" w:bidi="ar-SA"/>
        </w:rPr>
        <w:t>监标人现场监督</w:t>
      </w:r>
      <w:r>
        <w:rPr>
          <w:rFonts w:hint="default" w:ascii="Times New Roman" w:hAnsi="Times New Roman" w:cs="Times New Roman"/>
          <w:color w:val="auto"/>
          <w:kern w:val="2"/>
          <w:sz w:val="28"/>
          <w:szCs w:val="28"/>
          <w:highlight w:val="none"/>
          <w:lang w:val="en-US" w:eastAsia="zh-CN" w:bidi="ar-SA"/>
        </w:rPr>
        <w:t>并</w:t>
      </w:r>
      <w:r>
        <w:rPr>
          <w:rFonts w:hint="default" w:ascii="Times New Roman" w:hAnsi="Times New Roman" w:eastAsia="华文仿宋" w:cs="Times New Roman"/>
          <w:color w:val="auto"/>
          <w:kern w:val="2"/>
          <w:sz w:val="28"/>
          <w:szCs w:val="28"/>
          <w:highlight w:val="none"/>
          <w:lang w:val="en-US" w:eastAsia="zh-CN" w:bidi="ar-SA"/>
        </w:rPr>
        <w:t>全过程录像。</w:t>
      </w:r>
    </w:p>
    <w:p w14:paraId="1A3BC004">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竞价方式</w:t>
      </w:r>
    </w:p>
    <w:p w14:paraId="336FA551">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本次竞价采取</w:t>
      </w:r>
      <w:r>
        <w:rPr>
          <w:rFonts w:hint="eastAsia" w:ascii="Times New Roman" w:hAnsi="Times New Roman" w:eastAsia="华文仿宋" w:cs="Times New Roman"/>
          <w:color w:val="auto"/>
          <w:kern w:val="2"/>
          <w:sz w:val="28"/>
          <w:szCs w:val="28"/>
          <w:highlight w:val="none"/>
          <w:lang w:val="en-US" w:eastAsia="zh-CN" w:bidi="ar-SA"/>
        </w:rPr>
        <w:t>现场开标，多轮</w:t>
      </w:r>
      <w:r>
        <w:rPr>
          <w:rFonts w:hint="default" w:ascii="Times New Roman" w:hAnsi="Times New Roman" w:eastAsia="华文仿宋" w:cs="Times New Roman"/>
          <w:color w:val="auto"/>
          <w:kern w:val="2"/>
          <w:sz w:val="28"/>
          <w:szCs w:val="28"/>
          <w:highlight w:val="none"/>
          <w:lang w:val="en-US" w:eastAsia="zh-CN" w:bidi="ar-SA"/>
        </w:rPr>
        <w:t>报价</w:t>
      </w:r>
      <w:r>
        <w:rPr>
          <w:rFonts w:hint="eastAsia" w:ascii="Times New Roman" w:hAnsi="Times New Roman" w:eastAsia="华文仿宋" w:cs="Times New Roman"/>
          <w:color w:val="auto"/>
          <w:kern w:val="2"/>
          <w:sz w:val="28"/>
          <w:szCs w:val="28"/>
          <w:highlight w:val="none"/>
          <w:lang w:val="en-US" w:eastAsia="zh-CN" w:bidi="ar-SA"/>
        </w:rPr>
        <w:t>的方式竞价，</w:t>
      </w:r>
      <w:r>
        <w:rPr>
          <w:rFonts w:hint="default" w:ascii="Times New Roman" w:hAnsi="Times New Roman" w:eastAsia="华文仿宋" w:cs="Times New Roman"/>
          <w:color w:val="auto"/>
          <w:kern w:val="2"/>
          <w:sz w:val="28"/>
          <w:szCs w:val="28"/>
          <w:highlight w:val="none"/>
          <w:lang w:val="en-US" w:eastAsia="zh-CN" w:bidi="ar-SA"/>
        </w:rPr>
        <w:t>竞买人</w:t>
      </w:r>
      <w:r>
        <w:rPr>
          <w:rFonts w:hint="eastAsia" w:ascii="Times New Roman" w:hAnsi="Times New Roman" w:eastAsia="华文仿宋" w:cs="Times New Roman"/>
          <w:color w:val="auto"/>
          <w:kern w:val="2"/>
          <w:sz w:val="28"/>
          <w:szCs w:val="28"/>
          <w:highlight w:val="none"/>
          <w:lang w:val="en-US" w:eastAsia="zh-CN" w:bidi="ar-SA"/>
        </w:rPr>
        <w:t>递交的</w:t>
      </w:r>
      <w:r>
        <w:rPr>
          <w:rFonts w:hint="default" w:ascii="Times New Roman" w:hAnsi="Times New Roman" w:eastAsia="华文仿宋" w:cs="Times New Roman"/>
          <w:color w:val="auto"/>
          <w:kern w:val="2"/>
          <w:sz w:val="28"/>
          <w:szCs w:val="28"/>
          <w:highlight w:val="none"/>
          <w:lang w:val="en-US" w:eastAsia="zh-CN" w:bidi="ar-SA"/>
        </w:rPr>
        <w:t>报价文件</w:t>
      </w:r>
      <w:r>
        <w:rPr>
          <w:rFonts w:hint="eastAsia" w:ascii="Times New Roman" w:hAnsi="Times New Roman" w:eastAsia="华文仿宋" w:cs="Times New Roman"/>
          <w:color w:val="auto"/>
          <w:kern w:val="2"/>
          <w:sz w:val="28"/>
          <w:szCs w:val="28"/>
          <w:highlight w:val="none"/>
          <w:lang w:val="en-US" w:eastAsia="zh-CN" w:bidi="ar-SA"/>
        </w:rPr>
        <w:t>为第一次报价，唱标结束后，所有竞标人通过举牌的方式进行第二轮或多轮报价，每次举牌加价，竞价人需明确加价的标包且每次举牌加价不低于</w:t>
      </w:r>
      <w:r>
        <w:rPr>
          <w:rFonts w:hint="eastAsia" w:ascii="Times New Roman" w:hAnsi="Times New Roman" w:cs="Times New Roman"/>
          <w:color w:val="auto"/>
          <w:kern w:val="2"/>
          <w:sz w:val="28"/>
          <w:szCs w:val="28"/>
          <w:highlight w:val="none"/>
          <w:lang w:val="en-US" w:eastAsia="zh-CN" w:bidi="ar-SA"/>
        </w:rPr>
        <w:t>0.1元/吨，直至无人加价为止，评标小组对所有报价进行详细登记，并按照两个标包的综合单价依次从高到低排序。</w:t>
      </w:r>
    </w:p>
    <w:p w14:paraId="09AA61E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4.评标</w:t>
      </w:r>
    </w:p>
    <w:p w14:paraId="33A788C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开标结束，评标委员会对有效报价的竞价文件进行详细评审，满足相关要求的按照报价的高低，公布前3名中标候选人（不满足3人的，以现场实际数量公布候选人名单）。</w:t>
      </w:r>
    </w:p>
    <w:p w14:paraId="350EF77C">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定标</w:t>
      </w:r>
    </w:p>
    <w:p w14:paraId="610824C0">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评标结束后，唱标人公布评标结果，并现场答疑，未按要求现场参与竞标结果宣布的，视为默认评审过程及评定结果。现场无疑后，宣布报价最高</w:t>
      </w:r>
      <w:r>
        <w:rPr>
          <w:rFonts w:hint="eastAsia" w:ascii="Times New Roman" w:hAnsi="Times New Roman" w:cs="Times New Roman"/>
          <w:color w:val="auto"/>
          <w:kern w:val="2"/>
          <w:sz w:val="28"/>
          <w:szCs w:val="28"/>
          <w:highlight w:val="none"/>
          <w:lang w:val="en-US" w:eastAsia="zh-CN" w:bidi="ar-SA"/>
        </w:rPr>
        <w:t>者为</w:t>
      </w:r>
      <w:r>
        <w:rPr>
          <w:rFonts w:hint="default" w:ascii="Times New Roman" w:hAnsi="Times New Roman" w:cs="Times New Roman"/>
          <w:color w:val="auto"/>
          <w:kern w:val="2"/>
          <w:sz w:val="28"/>
          <w:szCs w:val="28"/>
          <w:highlight w:val="none"/>
          <w:lang w:val="en-US" w:eastAsia="zh-CN" w:bidi="ar-SA"/>
        </w:rPr>
        <w:t>中标人并下发成交通知书。</w:t>
      </w:r>
    </w:p>
    <w:p w14:paraId="74A41C68">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2" w:name="_Toc17714"/>
      <w:r>
        <w:rPr>
          <w:rFonts w:hint="default" w:ascii="Times New Roman" w:hAnsi="Times New Roman" w:eastAsia="黑体" w:cs="Times New Roman"/>
          <w:b w:val="0"/>
          <w:bCs/>
          <w:color w:val="auto"/>
          <w:sz w:val="28"/>
          <w:szCs w:val="28"/>
          <w:highlight w:val="none"/>
          <w:lang w:val="en-US" w:eastAsia="zh-CN"/>
        </w:rPr>
        <w:t>十、</w:t>
      </w:r>
      <w:r>
        <w:rPr>
          <w:rFonts w:hint="default" w:ascii="Times New Roman" w:hAnsi="Times New Roman" w:eastAsia="黑体" w:cs="Times New Roman"/>
          <w:b w:val="0"/>
          <w:bCs/>
          <w:color w:val="auto"/>
          <w:sz w:val="28"/>
          <w:szCs w:val="28"/>
          <w:highlight w:val="none"/>
        </w:rPr>
        <w:t>履约保证金</w:t>
      </w:r>
      <w:r>
        <w:rPr>
          <w:rFonts w:hint="default" w:ascii="Times New Roman" w:hAnsi="Times New Roman" w:eastAsia="黑体" w:cs="Times New Roman"/>
          <w:b w:val="0"/>
          <w:bCs/>
          <w:color w:val="auto"/>
          <w:sz w:val="28"/>
          <w:szCs w:val="28"/>
          <w:highlight w:val="none"/>
          <w:lang w:val="en-US" w:eastAsia="zh-CN"/>
        </w:rPr>
        <w:t>及货款的</w:t>
      </w:r>
      <w:r>
        <w:rPr>
          <w:rFonts w:hint="default" w:ascii="Times New Roman" w:hAnsi="Times New Roman" w:eastAsia="黑体" w:cs="Times New Roman"/>
          <w:b w:val="0"/>
          <w:bCs/>
          <w:color w:val="auto"/>
          <w:sz w:val="28"/>
          <w:szCs w:val="28"/>
          <w:highlight w:val="none"/>
        </w:rPr>
        <w:t>支付</w:t>
      </w:r>
      <w:bookmarkEnd w:id="72"/>
    </w:p>
    <w:p w14:paraId="3406D719">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73" w:name="_Toc14692"/>
      <w:bookmarkStart w:id="74" w:name="_Toc14136"/>
      <w:r>
        <w:rPr>
          <w:rFonts w:hint="default" w:ascii="Times New Roman" w:hAnsi="Times New Roman" w:eastAsia="华文仿宋" w:cs="Times New Roman"/>
          <w:color w:val="auto"/>
          <w:kern w:val="2"/>
          <w:sz w:val="28"/>
          <w:szCs w:val="28"/>
          <w:highlight w:val="none"/>
          <w:lang w:val="en-US" w:eastAsia="zh-CN" w:bidi="ar-SA"/>
        </w:rPr>
        <w:t>1.</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b/>
          <w:bCs/>
          <w:color w:val="auto"/>
          <w:sz w:val="28"/>
          <w:szCs w:val="28"/>
          <w:highlight w:val="none"/>
          <w:lang w:val="en-US" w:eastAsia="zh-CN"/>
        </w:rPr>
        <w:t>履约保证金为合同价款的2%，在合同签订前竞得人需全额支付至甲方指定账户，</w:t>
      </w:r>
      <w:r>
        <w:rPr>
          <w:rFonts w:hint="default" w:ascii="Times New Roman" w:hAnsi="Times New Roman" w:cs="Times New Roman"/>
          <w:color w:val="auto"/>
          <w:sz w:val="28"/>
          <w:szCs w:val="28"/>
          <w:highlight w:val="none"/>
          <w:lang w:val="en-US" w:eastAsia="zh-CN"/>
        </w:rPr>
        <w:t>未按要求及时支付的，视为弃权，竞</w:t>
      </w:r>
      <w:r>
        <w:rPr>
          <w:rFonts w:hint="eastAsia" w:ascii="Times New Roman" w:hAnsi="Times New Roman" w:cs="Times New Roman"/>
          <w:color w:val="auto"/>
          <w:sz w:val="28"/>
          <w:szCs w:val="28"/>
          <w:highlight w:val="none"/>
          <w:lang w:val="en-US" w:eastAsia="zh-CN"/>
        </w:rPr>
        <w:t>卖</w:t>
      </w:r>
      <w:r>
        <w:rPr>
          <w:rFonts w:hint="default" w:ascii="Times New Roman" w:hAnsi="Times New Roman" w:cs="Times New Roman"/>
          <w:color w:val="auto"/>
          <w:sz w:val="28"/>
          <w:szCs w:val="28"/>
          <w:highlight w:val="none"/>
          <w:lang w:val="en-US" w:eastAsia="zh-CN"/>
        </w:rPr>
        <w:t>人有权没收</w:t>
      </w:r>
      <w:r>
        <w:rPr>
          <w:rFonts w:hint="eastAsia" w:ascii="Times New Roman" w:hAnsi="Times New Roman" w:cs="Times New Roman"/>
          <w:color w:val="auto"/>
          <w:sz w:val="28"/>
          <w:szCs w:val="28"/>
          <w:highlight w:val="none"/>
          <w:lang w:val="en-US" w:eastAsia="zh-CN"/>
        </w:rPr>
        <w:t>其</w:t>
      </w:r>
      <w:r>
        <w:rPr>
          <w:rFonts w:hint="default" w:ascii="Times New Roman" w:hAnsi="Times New Roman" w:cs="Times New Roman"/>
          <w:color w:val="auto"/>
          <w:sz w:val="28"/>
          <w:szCs w:val="28"/>
          <w:highlight w:val="none"/>
          <w:lang w:val="en-US" w:eastAsia="zh-CN"/>
        </w:rPr>
        <w:t>全部竞买保证金。</w:t>
      </w:r>
    </w:p>
    <w:p w14:paraId="00AEE4E6">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eastAsia="华文仿宋" w:cs="Times New Roman"/>
          <w:color w:val="auto"/>
          <w:kern w:val="2"/>
          <w:sz w:val="28"/>
          <w:szCs w:val="28"/>
          <w:highlight w:val="none"/>
          <w:lang w:val="en-US" w:eastAsia="zh-CN" w:bidi="ar-SA"/>
        </w:rPr>
        <w:t>2.</w:t>
      </w:r>
      <w:r>
        <w:rPr>
          <w:rFonts w:hint="default" w:ascii="Times New Roman" w:hAnsi="Times New Roman" w:cs="Times New Roman"/>
          <w:color w:val="auto"/>
          <w:sz w:val="28"/>
          <w:szCs w:val="28"/>
          <w:highlight w:val="none"/>
          <w:lang w:val="en-US" w:eastAsia="zh-CN"/>
        </w:rPr>
        <w:t>货款的支付：</w:t>
      </w:r>
    </w:p>
    <w:p w14:paraId="192A805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（1）合同签订后，竞得人的所有竞买保证金直接转为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货款，竞得人需在合同签订后的</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个工作日内，按以下规则支付预付货款至甲方指定账户：</w:t>
      </w:r>
    </w:p>
    <w:p w14:paraId="6A8F3B3E">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①单次竞价标的数量＜5万吨时，货款支付比例为合同价款的</w:t>
      </w:r>
      <w:r>
        <w:rPr>
          <w:rFonts w:hint="eastAsia" w:ascii="Times New Roman" w:hAnsi="Times New Roman" w:cs="Times New Roman"/>
          <w:color w:val="auto"/>
          <w:kern w:val="2"/>
          <w:sz w:val="28"/>
          <w:szCs w:val="28"/>
          <w:highlight w:val="none"/>
          <w:lang w:val="en-US" w:eastAsia="zh-CN" w:bidi="ar-SA"/>
        </w:rPr>
        <w:t>6</w:t>
      </w:r>
      <w:r>
        <w:rPr>
          <w:rFonts w:hint="default" w:ascii="Times New Roman" w:hAnsi="Times New Roman" w:eastAsia="华文仿宋" w:cs="Times New Roman"/>
          <w:color w:val="auto"/>
          <w:kern w:val="2"/>
          <w:sz w:val="28"/>
          <w:szCs w:val="28"/>
          <w:highlight w:val="none"/>
          <w:lang w:val="en-US" w:eastAsia="zh-CN" w:bidi="ar-SA"/>
        </w:rPr>
        <w:t>0%；</w:t>
      </w:r>
    </w:p>
    <w:p w14:paraId="05A41D4B">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②5万吨≤单次竞价标的数量＜10万吨时，货款支付比例为合同价款的</w:t>
      </w: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0%；</w:t>
      </w:r>
    </w:p>
    <w:p w14:paraId="501CBA28">
      <w:pPr>
        <w:pStyle w:val="8"/>
        <w:keepNext w:val="0"/>
        <w:keepLines w:val="0"/>
        <w:pageBreakBefore w:val="0"/>
        <w:kinsoku/>
        <w:wordWrap/>
        <w:overflowPunct/>
        <w:topLinePunct w:val="0"/>
        <w:autoSpaceDE/>
        <w:autoSpaceDN/>
        <w:bidi w:val="0"/>
        <w:adjustRightInd w:val="0"/>
        <w:snapToGrid w:val="0"/>
        <w:spacing w:after="0" w:afterLines="0" w:line="520" w:lineRule="exact"/>
        <w:ind w:left="0" w:leftChars="0" w:firstLine="561" w:firstLineChars="200"/>
        <w:textAlignment w:val="auto"/>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③10万吨≤单次竞价标的数量＜50万吨时，货款支付比例为合同价款的</w:t>
      </w:r>
      <w:r>
        <w:rPr>
          <w:rFonts w:hint="eastAsia" w:ascii="Times New Roman" w:hAnsi="Times New Roman" w:cs="Times New Roman"/>
          <w:b/>
          <w:bCs/>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0%；</w:t>
      </w:r>
    </w:p>
    <w:p w14:paraId="0E9CFD06">
      <w:pPr>
        <w:pStyle w:val="7"/>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pacing w:val="0"/>
          <w:kern w:val="2"/>
          <w:sz w:val="28"/>
          <w:szCs w:val="28"/>
          <w:highlight w:val="none"/>
          <w:lang w:val="en-US" w:eastAsia="zh-CN" w:bidi="ar-SA"/>
        </w:rPr>
      </w:pPr>
      <w:r>
        <w:rPr>
          <w:rFonts w:hint="eastAsia" w:ascii="宋体" w:hAnsi="宋体" w:eastAsia="宋体" w:cs="宋体"/>
          <w:color w:val="auto"/>
          <w:spacing w:val="0"/>
          <w:kern w:val="2"/>
          <w:sz w:val="28"/>
          <w:szCs w:val="28"/>
          <w:highlight w:val="none"/>
          <w:lang w:val="en-US" w:eastAsia="zh-CN" w:bidi="ar-SA"/>
        </w:rPr>
        <w:t>④</w:t>
      </w:r>
      <w:r>
        <w:rPr>
          <w:rFonts w:hint="default" w:ascii="Times New Roman" w:hAnsi="Times New Roman" w:eastAsia="华文仿宋" w:cs="Times New Roman"/>
          <w:color w:val="auto"/>
          <w:spacing w:val="0"/>
          <w:kern w:val="2"/>
          <w:sz w:val="28"/>
          <w:szCs w:val="28"/>
          <w:highlight w:val="none"/>
          <w:lang w:val="en-US" w:eastAsia="zh-CN" w:bidi="ar-SA"/>
        </w:rPr>
        <w:t>单次竞价标的数量≥50万吨时，货款支付比例为合同价款的</w:t>
      </w:r>
      <w:r>
        <w:rPr>
          <w:rFonts w:hint="default" w:ascii="Times New Roman" w:hAnsi="Times New Roman" w:cs="Times New Roman"/>
          <w:color w:val="auto"/>
          <w:spacing w:val="0"/>
          <w:kern w:val="2"/>
          <w:sz w:val="28"/>
          <w:szCs w:val="28"/>
          <w:highlight w:val="none"/>
          <w:lang w:val="en-US" w:eastAsia="zh-CN" w:bidi="ar-SA"/>
        </w:rPr>
        <w:t>18</w:t>
      </w:r>
      <w:r>
        <w:rPr>
          <w:rFonts w:hint="default" w:ascii="Times New Roman" w:hAnsi="Times New Roman" w:eastAsia="华文仿宋" w:cs="Times New Roman"/>
          <w:color w:val="auto"/>
          <w:spacing w:val="0"/>
          <w:kern w:val="2"/>
          <w:sz w:val="28"/>
          <w:szCs w:val="28"/>
          <w:highlight w:val="none"/>
          <w:lang w:val="en-US" w:eastAsia="zh-CN" w:bidi="ar-SA"/>
        </w:rPr>
        <w:t>%</w:t>
      </w:r>
      <w:r>
        <w:rPr>
          <w:rFonts w:hint="default" w:ascii="Times New Roman" w:hAnsi="Times New Roman" w:cs="Times New Roman"/>
          <w:color w:val="auto"/>
          <w:spacing w:val="0"/>
          <w:kern w:val="2"/>
          <w:sz w:val="28"/>
          <w:szCs w:val="28"/>
          <w:highlight w:val="none"/>
          <w:lang w:val="en-US" w:eastAsia="zh-CN" w:bidi="ar-SA"/>
        </w:rPr>
        <w:t>。</w:t>
      </w:r>
    </w:p>
    <w:p w14:paraId="5A5A07A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bCs/>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（2）若货款余额不足以抵扣次日提货金额的，竞得人须立即补足剩余货款（满足次日提货即可），否则竞卖人有权停止发货。</w:t>
      </w:r>
    </w:p>
    <w:p w14:paraId="5B42A02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十一、竞得人资格放弃</w:t>
      </w:r>
      <w:bookmarkEnd w:id="73"/>
      <w:bookmarkEnd w:id="74"/>
    </w:p>
    <w:p w14:paraId="1B60A63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716E375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5" w:name="_Toc29890"/>
      <w:bookmarkStart w:id="76" w:name="_Toc5987"/>
      <w:r>
        <w:rPr>
          <w:rFonts w:hint="default" w:ascii="Times New Roman" w:hAnsi="Times New Roman" w:eastAsia="黑体" w:cs="Times New Roman"/>
          <w:b w:val="0"/>
          <w:bCs/>
          <w:color w:val="auto"/>
          <w:sz w:val="28"/>
          <w:szCs w:val="28"/>
          <w:highlight w:val="none"/>
          <w:lang w:val="en-US" w:eastAsia="zh-CN"/>
        </w:rPr>
        <w:t>十二、信息发布</w:t>
      </w:r>
      <w:bookmarkEnd w:id="75"/>
      <w:bookmarkEnd w:id="76"/>
    </w:p>
    <w:p w14:paraId="239E366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default" w:ascii="Times New Roman" w:hAnsi="Times New Roman" w:cs="Times New Roman"/>
          <w:color w:val="auto"/>
          <w:sz w:val="28"/>
          <w:szCs w:val="28"/>
          <w:highlight w:val="none"/>
          <w:lang w:val="en-US" w:eastAsia="zh-CN"/>
        </w:rPr>
        <w:t>本公告于202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7月5日</w:t>
      </w:r>
      <w:r>
        <w:rPr>
          <w:rFonts w:hint="default" w:ascii="Times New Roman" w:hAnsi="Times New Roman" w:cs="Times New Roman"/>
          <w:color w:val="auto"/>
          <w:sz w:val="28"/>
          <w:szCs w:val="28"/>
          <w:highlight w:val="none"/>
          <w:lang w:val="en-US" w:eastAsia="zh-CN"/>
        </w:rPr>
        <w:t>在安东投资控股集团有限公司官方网站（http://www.adtzjt.com/news.aspx?classid=3）发布。</w:t>
      </w:r>
    </w:p>
    <w:p w14:paraId="09D8B43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7" w:name="_Toc13468"/>
      <w:bookmarkStart w:id="78" w:name="_Toc24261"/>
      <w:r>
        <w:rPr>
          <w:rFonts w:hint="default" w:ascii="Times New Roman" w:hAnsi="Times New Roman" w:eastAsia="黑体" w:cs="Times New Roman"/>
          <w:b w:val="0"/>
          <w:bCs/>
          <w:color w:val="auto"/>
          <w:sz w:val="28"/>
          <w:szCs w:val="28"/>
          <w:highlight w:val="none"/>
          <w:lang w:val="en-US" w:eastAsia="zh-CN"/>
        </w:rPr>
        <w:t>十三、联系方式</w:t>
      </w:r>
      <w:bookmarkEnd w:id="77"/>
      <w:bookmarkEnd w:id="78"/>
    </w:p>
    <w:p w14:paraId="106EB90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竞卖人：安徽交控东流新材料有限公司；</w:t>
      </w:r>
    </w:p>
    <w:p w14:paraId="6302050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联系地址：安徽省池州市东至县东流镇安徽交控东流新材料有限公司</w:t>
      </w:r>
      <w:r>
        <w:rPr>
          <w:rFonts w:hint="eastAsia" w:ascii="Times New Roman" w:hAnsi="Times New Roman" w:cs="Times New Roman"/>
          <w:color w:val="auto"/>
          <w:sz w:val="28"/>
          <w:szCs w:val="28"/>
          <w:highlight w:val="none"/>
          <w:lang w:val="en-US" w:eastAsia="zh-CN"/>
        </w:rPr>
        <w:t>三楼市场营销</w:t>
      </w:r>
      <w:r>
        <w:rPr>
          <w:rFonts w:hint="default" w:ascii="Times New Roman" w:hAnsi="Times New Roman" w:cs="Times New Roman"/>
          <w:color w:val="auto"/>
          <w:sz w:val="28"/>
          <w:szCs w:val="28"/>
          <w:highlight w:val="none"/>
          <w:lang w:val="en-US" w:eastAsia="zh-CN"/>
        </w:rPr>
        <w:t>部；</w:t>
      </w:r>
    </w:p>
    <w:p w14:paraId="5DD425A2">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联系人：吴先生13156590425/陈女士18712342028。</w:t>
      </w:r>
    </w:p>
    <w:p w14:paraId="69F6C6E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9" w:name="_Toc29526"/>
      <w:bookmarkStart w:id="80" w:name="_Toc17017"/>
      <w:r>
        <w:rPr>
          <w:rFonts w:hint="default" w:ascii="Times New Roman" w:hAnsi="Times New Roman" w:eastAsia="黑体" w:cs="Times New Roman"/>
          <w:b w:val="0"/>
          <w:bCs/>
          <w:color w:val="auto"/>
          <w:sz w:val="28"/>
          <w:szCs w:val="28"/>
          <w:highlight w:val="none"/>
          <w:lang w:val="en-US" w:eastAsia="zh-CN"/>
        </w:rPr>
        <w:t>十四、其他</w:t>
      </w:r>
      <w:bookmarkEnd w:id="79"/>
      <w:bookmarkEnd w:id="80"/>
    </w:p>
    <w:p w14:paraId="0A905F9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b w:val="0"/>
          <w:bCs w:val="0"/>
          <w:color w:val="auto"/>
          <w:sz w:val="28"/>
          <w:szCs w:val="28"/>
          <w:highlight w:val="none"/>
          <w:lang w:val="en-US" w:eastAsia="zh-CN"/>
        </w:rPr>
        <w:t>1.</w:t>
      </w:r>
      <w:r>
        <w:rPr>
          <w:rFonts w:hint="default" w:ascii="Times New Roman" w:hAnsi="Times New Roman" w:cs="Times New Roman"/>
          <w:b w:val="0"/>
          <w:bCs w:val="0"/>
          <w:color w:val="auto"/>
          <w:sz w:val="28"/>
          <w:szCs w:val="28"/>
          <w:highlight w:val="none"/>
          <w:lang w:val="en-US" w:eastAsia="zh-CN"/>
        </w:rPr>
        <w:t>合同执行期内产品销售单价不作调整。</w:t>
      </w:r>
    </w:p>
    <w:p w14:paraId="65FE5FD4">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竞买人提交的所有文件不得涂改，否则无效。</w:t>
      </w:r>
    </w:p>
    <w:p w14:paraId="77B1BADA">
      <w:pPr>
        <w:pStyle w:val="8"/>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.在竞价过程中，若存在围标、串标、借用资质及其他弄虚作假等违法违规行为，竞卖人有权没收竞买保证金</w:t>
      </w:r>
      <w:r>
        <w:rPr>
          <w:rFonts w:hint="default" w:ascii="Times New Roman" w:hAnsi="Times New Roman" w:cs="Times New Roman"/>
          <w:color w:val="auto"/>
          <w:kern w:val="2"/>
          <w:sz w:val="28"/>
          <w:szCs w:val="28"/>
          <w:highlight w:val="none"/>
          <w:lang w:val="en-US" w:eastAsia="zh-CN" w:bidi="ar-SA"/>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5CAF3F4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 本公告附件是本公告组成部分，与本公告具有同等法律效力</w:t>
      </w:r>
      <w:r>
        <w:rPr>
          <w:rFonts w:hint="eastAsia" w:ascii="Times New Roman" w:hAnsi="Times New Roman" w:cs="Times New Roman"/>
          <w:color w:val="auto"/>
          <w:kern w:val="2"/>
          <w:sz w:val="28"/>
          <w:szCs w:val="28"/>
          <w:highlight w:val="none"/>
          <w:lang w:val="en-US" w:eastAsia="zh-CN" w:bidi="ar-SA"/>
        </w:rPr>
        <w:t>。</w:t>
      </w:r>
    </w:p>
    <w:p w14:paraId="593F7C8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 本公告解释权归安徽交控东流新材料有限公司所有。</w:t>
      </w:r>
    </w:p>
    <w:p w14:paraId="17FAC645">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09F3808D">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highlight w:val="none"/>
          <w:lang w:val="en-US" w:eastAsia="zh-CN"/>
        </w:rPr>
      </w:pPr>
      <w:r>
        <w:rPr>
          <w:rFonts w:hint="default" w:ascii="Times New Roman" w:hAnsi="Times New Roman" w:eastAsia="黑体" w:cs="Times New Roman"/>
          <w:b w:val="0"/>
          <w:bCs w:val="0"/>
          <w:color w:val="auto"/>
          <w:sz w:val="32"/>
          <w:szCs w:val="28"/>
          <w:highlight w:val="none"/>
          <w:lang w:val="en-US" w:eastAsia="zh-CN"/>
        </w:rPr>
        <w:t>第二章  购销</w:t>
      </w:r>
      <w:r>
        <w:rPr>
          <w:rFonts w:hint="default" w:ascii="Times New Roman" w:hAnsi="Times New Roman" w:eastAsia="黑体" w:cs="Times New Roman"/>
          <w:b w:val="0"/>
          <w:bCs w:val="0"/>
          <w:color w:val="auto"/>
          <w:sz w:val="32"/>
          <w:szCs w:val="28"/>
          <w:highlight w:val="none"/>
        </w:rPr>
        <w:t>合同</w:t>
      </w:r>
      <w:r>
        <w:rPr>
          <w:rFonts w:hint="default" w:ascii="Times New Roman" w:hAnsi="Times New Roman" w:eastAsia="黑体" w:cs="Times New Roman"/>
          <w:b w:val="0"/>
          <w:bCs w:val="0"/>
          <w:color w:val="auto"/>
          <w:sz w:val="32"/>
          <w:szCs w:val="28"/>
          <w:highlight w:val="none"/>
          <w:lang w:val="en-US" w:eastAsia="zh-CN"/>
        </w:rPr>
        <w:t>模板</w:t>
      </w:r>
    </w:p>
    <w:p w14:paraId="351C417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1" w:name="_Toc19788"/>
      <w:bookmarkStart w:id="82" w:name="_Toc10533"/>
    </w:p>
    <w:p w14:paraId="03BF2C6D">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auto"/>
          <w:sz w:val="32"/>
          <w:szCs w:val="32"/>
          <w:highlight w:val="none"/>
          <w:lang w:eastAsia="zh-CN"/>
        </w:rPr>
      </w:pPr>
      <w:r>
        <w:rPr>
          <w:rFonts w:hint="default" w:ascii="Times New Roman" w:hAnsi="Times New Roman" w:eastAsia="方正小标宋简体" w:cs="Times New Roman"/>
          <w:b w:val="0"/>
          <w:bCs w:val="0"/>
          <w:color w:val="auto"/>
          <w:sz w:val="32"/>
          <w:szCs w:val="32"/>
          <w:highlight w:val="none"/>
          <w:lang w:val="en-US" w:eastAsia="zh-CN"/>
        </w:rPr>
        <w:t>安徽交控东流新材料有限公司</w:t>
      </w:r>
      <w:r>
        <w:rPr>
          <w:rFonts w:hint="eastAsia" w:ascii="Times New Roman" w:hAnsi="Times New Roman" w:eastAsia="方正小标宋简体" w:cs="Times New Roman"/>
          <w:b w:val="0"/>
          <w:bCs w:val="0"/>
          <w:color w:val="auto"/>
          <w:sz w:val="32"/>
          <w:szCs w:val="32"/>
          <w:highlight w:val="none"/>
          <w:lang w:val="en-US" w:eastAsia="zh-CN"/>
        </w:rPr>
        <w:t>杂石混合料</w:t>
      </w:r>
      <w:r>
        <w:rPr>
          <w:rFonts w:hint="default" w:ascii="Times New Roman" w:hAnsi="Times New Roman" w:eastAsia="方正小标宋简体" w:cs="Times New Roman"/>
          <w:b w:val="0"/>
          <w:bCs w:val="0"/>
          <w:color w:val="auto"/>
          <w:sz w:val="32"/>
          <w:szCs w:val="32"/>
          <w:highlight w:val="none"/>
          <w:lang w:val="en-US" w:eastAsia="zh-CN"/>
        </w:rPr>
        <w:t>购</w:t>
      </w:r>
      <w:r>
        <w:rPr>
          <w:rFonts w:hint="default" w:ascii="Times New Roman" w:hAnsi="Times New Roman" w:eastAsia="方正小标宋简体" w:cs="Times New Roman"/>
          <w:b w:val="0"/>
          <w:bCs w:val="0"/>
          <w:color w:val="auto"/>
          <w:sz w:val="32"/>
          <w:szCs w:val="32"/>
          <w:highlight w:val="none"/>
          <w:lang w:eastAsia="zh-CN"/>
        </w:rPr>
        <w:t>销合同</w:t>
      </w:r>
      <w:bookmarkEnd w:id="81"/>
      <w:bookmarkEnd w:id="82"/>
    </w:p>
    <w:p w14:paraId="2F31052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42C1210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6DC11DB3">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lang w:val="en-US" w:eastAsia="zh-CN"/>
        </w:rPr>
      </w:pPr>
      <w:r>
        <w:rPr>
          <w:rFonts w:hint="default" w:ascii="Times New Roman" w:hAnsi="Times New Roman" w:eastAsia="华文仿宋" w:cs="Times New Roman"/>
          <w:bCs/>
          <w:color w:val="auto"/>
          <w:sz w:val="28"/>
          <w:szCs w:val="28"/>
          <w:highlight w:val="none"/>
        </w:rPr>
        <w:t>甲方（供应方）：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安徽交控东流新材料有限公司 </w:t>
      </w:r>
    </w:p>
    <w:p w14:paraId="37F1B20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乙方（需求方）：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161B0FB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合</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同</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签</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订地：</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lang w:val="en-US" w:eastAsia="zh-CN"/>
        </w:rPr>
        <w:t xml:space="preserve">    安徽省池州市东至县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1BE5D2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2E115E3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z w:val="28"/>
          <w:szCs w:val="28"/>
          <w:highlight w:val="none"/>
          <w:lang w:val="en-US" w:eastAsia="zh-CN"/>
        </w:rPr>
      </w:pPr>
      <w:r>
        <w:rPr>
          <w:rFonts w:hint="default" w:ascii="Times New Roman" w:hAnsi="Times New Roman" w:eastAsia="华文仿宋" w:cs="Times New Roman"/>
          <w:color w:val="auto"/>
          <w:sz w:val="28"/>
          <w:szCs w:val="28"/>
          <w:highlight w:val="none"/>
          <w:lang w:val="en-US" w:eastAsia="zh-CN"/>
        </w:rPr>
        <w:t>根据《中华人民共和国民法典》等法律法规的规定，</w:t>
      </w:r>
      <w:r>
        <w:rPr>
          <w:rFonts w:hint="default" w:ascii="Times New Roman" w:hAnsi="Times New Roman" w:cs="Times New Roman"/>
          <w:color w:val="auto"/>
          <w:sz w:val="28"/>
          <w:szCs w:val="28"/>
          <w:highlight w:val="none"/>
          <w:lang w:val="en-US" w:eastAsia="zh-CN"/>
        </w:rPr>
        <w:t>遵循</w:t>
      </w:r>
      <w:r>
        <w:rPr>
          <w:rFonts w:hint="default" w:ascii="Times New Roman" w:hAnsi="Times New Roman" w:eastAsia="华文仿宋" w:cs="Times New Roman"/>
          <w:color w:val="auto"/>
          <w:sz w:val="28"/>
          <w:szCs w:val="28"/>
          <w:highlight w:val="none"/>
          <w:lang w:val="en-US" w:eastAsia="zh-CN"/>
        </w:rPr>
        <w:t>平等互利、诚实守信的原则，现就甲方出售给乙方</w:t>
      </w:r>
      <w:r>
        <w:rPr>
          <w:rFonts w:hint="eastAsia" w:ascii="Times New Roman" w:hAnsi="Times New Roman" w:cs="Times New Roman"/>
          <w:color w:val="auto"/>
          <w:sz w:val="28"/>
          <w:szCs w:val="28"/>
          <w:highlight w:val="none"/>
          <w:u w:val="single"/>
          <w:lang w:val="en-US" w:eastAsia="zh-CN"/>
        </w:rPr>
        <w:t>杂石混合料</w:t>
      </w:r>
      <w:r>
        <w:rPr>
          <w:rFonts w:hint="default" w:ascii="Times New Roman" w:hAnsi="Times New Roman" w:eastAsia="华文仿宋"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以</w:t>
      </w:r>
      <w:r>
        <w:rPr>
          <w:rFonts w:hint="default" w:ascii="Times New Roman" w:hAnsi="Times New Roman" w:eastAsia="华文仿宋" w:cs="Times New Roman"/>
          <w:color w:val="auto"/>
          <w:sz w:val="28"/>
          <w:szCs w:val="28"/>
          <w:highlight w:val="none"/>
          <w:lang w:val="en-US" w:eastAsia="zh-CN"/>
        </w:rPr>
        <w:t>下简称“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eastAsia="华文仿宋" w:cs="Times New Roman"/>
          <w:color w:val="auto"/>
          <w:sz w:val="28"/>
          <w:szCs w:val="28"/>
          <w:highlight w:val="none"/>
          <w:lang w:val="en-US" w:eastAsia="zh-CN"/>
        </w:rPr>
        <w:t>”）事宜，经甲乙双方协商一致，签订本合同。</w:t>
      </w:r>
    </w:p>
    <w:p w14:paraId="35A45C1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32"/>
          <w:highlight w:val="none"/>
        </w:rPr>
      </w:pPr>
      <w:bookmarkStart w:id="83" w:name="_Toc2999"/>
      <w:bookmarkStart w:id="84" w:name="_Toc28554_WPSOffice_Level1"/>
      <w:bookmarkStart w:id="85" w:name="_Toc31089"/>
      <w:r>
        <w:rPr>
          <w:rFonts w:hint="default" w:ascii="Times New Roman" w:hAnsi="Times New Roman" w:eastAsia="黑体" w:cs="Times New Roman"/>
          <w:b w:val="0"/>
          <w:bCs/>
          <w:color w:val="auto"/>
          <w:sz w:val="28"/>
          <w:szCs w:val="32"/>
          <w:highlight w:val="none"/>
          <w:lang w:val="en-US" w:eastAsia="zh-CN"/>
        </w:rPr>
        <w:t>一、</w:t>
      </w:r>
      <w:r>
        <w:rPr>
          <w:rFonts w:hint="default" w:ascii="Times New Roman" w:hAnsi="Times New Roman" w:eastAsia="黑体" w:cs="Times New Roman"/>
          <w:b w:val="0"/>
          <w:bCs/>
          <w:color w:val="auto"/>
          <w:sz w:val="28"/>
          <w:szCs w:val="32"/>
          <w:highlight w:val="none"/>
        </w:rPr>
        <w:t>货物名称、数量及价格</w:t>
      </w:r>
      <w:bookmarkEnd w:id="83"/>
      <w:bookmarkEnd w:id="84"/>
      <w:bookmarkEnd w:id="85"/>
    </w:p>
    <w:tbl>
      <w:tblPr>
        <w:tblStyle w:val="9"/>
        <w:tblpPr w:leftFromText="180" w:rightFromText="180" w:vertAnchor="text" w:horzAnchor="page" w:tblpXSpec="center" w:tblpY="91"/>
        <w:tblOverlap w:val="never"/>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197"/>
        <w:gridCol w:w="915"/>
        <w:gridCol w:w="1215"/>
        <w:gridCol w:w="1078"/>
        <w:gridCol w:w="1558"/>
        <w:gridCol w:w="1817"/>
      </w:tblGrid>
      <w:tr w14:paraId="36B02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494" w:type="dxa"/>
            <w:noWrap w:val="0"/>
            <w:vAlign w:val="center"/>
          </w:tcPr>
          <w:p w14:paraId="3DCF7FA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bookmarkStart w:id="86" w:name="_Toc30212_WPSOffice_Level1"/>
            <w:bookmarkStart w:id="87" w:name="_Toc6478"/>
            <w:bookmarkStart w:id="88" w:name="_Toc24138"/>
            <w:r>
              <w:rPr>
                <w:rFonts w:hint="default" w:ascii="Times New Roman" w:hAnsi="Times New Roman" w:eastAsia="方正仿宋_GBK" w:cs="Times New Roman"/>
                <w:b w:val="0"/>
                <w:bCs w:val="0"/>
                <w:color w:val="auto"/>
                <w:sz w:val="24"/>
                <w:szCs w:val="24"/>
                <w:highlight w:val="none"/>
                <w:lang w:eastAsia="zh-CN"/>
              </w:rPr>
              <w:t>货物名称</w:t>
            </w:r>
          </w:p>
        </w:tc>
        <w:tc>
          <w:tcPr>
            <w:tcW w:w="1197" w:type="dxa"/>
            <w:noWrap w:val="0"/>
            <w:vAlign w:val="center"/>
          </w:tcPr>
          <w:p w14:paraId="5C86E49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915" w:type="dxa"/>
            <w:noWrap w:val="0"/>
            <w:vAlign w:val="center"/>
          </w:tcPr>
          <w:p w14:paraId="5ABAAB07">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eastAsia="zh-CN"/>
              </w:rPr>
              <w:t>数量</w:t>
            </w:r>
          </w:p>
          <w:p w14:paraId="357675E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（吨）</w:t>
            </w:r>
          </w:p>
        </w:tc>
        <w:tc>
          <w:tcPr>
            <w:tcW w:w="1215" w:type="dxa"/>
            <w:noWrap w:val="0"/>
            <w:vAlign w:val="center"/>
          </w:tcPr>
          <w:p w14:paraId="3DA00FB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w:t>
            </w:r>
          </w:p>
          <w:p w14:paraId="2D8B6936">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rPr>
              <w:t>（元/吨）</w:t>
            </w:r>
          </w:p>
        </w:tc>
        <w:tc>
          <w:tcPr>
            <w:tcW w:w="1078" w:type="dxa"/>
            <w:noWrap w:val="0"/>
            <w:vAlign w:val="center"/>
          </w:tcPr>
          <w:p w14:paraId="304A9026">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558" w:type="dxa"/>
            <w:noWrap w:val="0"/>
            <w:vAlign w:val="center"/>
          </w:tcPr>
          <w:p w14:paraId="11F0746E">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817" w:type="dxa"/>
            <w:noWrap w:val="0"/>
            <w:vAlign w:val="center"/>
          </w:tcPr>
          <w:p w14:paraId="5ED6267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2249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2C4BE4F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杂石混合料</w:t>
            </w:r>
          </w:p>
        </w:tc>
        <w:tc>
          <w:tcPr>
            <w:tcW w:w="1197" w:type="dxa"/>
            <w:noWrap w:val="0"/>
            <w:vAlign w:val="center"/>
          </w:tcPr>
          <w:p w14:paraId="23FCA961">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15" w:type="dxa"/>
            <w:noWrap w:val="0"/>
            <w:vAlign w:val="center"/>
          </w:tcPr>
          <w:p w14:paraId="0586EBA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215" w:type="dxa"/>
            <w:noWrap w:val="0"/>
            <w:vAlign w:val="center"/>
          </w:tcPr>
          <w:p w14:paraId="17668C35">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078" w:type="dxa"/>
            <w:noWrap w:val="0"/>
            <w:vAlign w:val="center"/>
          </w:tcPr>
          <w:p w14:paraId="5F642D6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558" w:type="dxa"/>
            <w:noWrap w:val="0"/>
            <w:vAlign w:val="center"/>
          </w:tcPr>
          <w:p w14:paraId="3A77639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817" w:type="dxa"/>
            <w:noWrap w:val="0"/>
            <w:vAlign w:val="center"/>
          </w:tcPr>
          <w:p w14:paraId="7A83E22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55E32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jc w:val="center"/>
        </w:trPr>
        <w:tc>
          <w:tcPr>
            <w:tcW w:w="9274" w:type="dxa"/>
            <w:gridSpan w:val="7"/>
            <w:noWrap w:val="0"/>
            <w:vAlign w:val="center"/>
          </w:tcPr>
          <w:p w14:paraId="2F3ACDB1">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19C8E8B0">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1.本项目共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各竞买人进现场报价，</w:t>
            </w:r>
            <w:r>
              <w:rPr>
                <w:rFonts w:hint="default" w:ascii="Times New Roman" w:hAnsi="Times New Roman" w:cs="Times New Roman"/>
                <w:b w:val="0"/>
                <w:bCs w:val="0"/>
                <w:color w:val="auto"/>
                <w:sz w:val="24"/>
                <w:szCs w:val="24"/>
                <w:highlight w:val="none"/>
                <w:lang w:val="en-US" w:eastAsia="zh-CN"/>
              </w:rPr>
              <w:t>竞价报价低于竞价底价的，属无效报价。</w:t>
            </w:r>
          </w:p>
          <w:p w14:paraId="3A0CF7EE">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lang w:val="en-US" w:eastAsia="zh-CN"/>
              </w:rPr>
            </w:pPr>
            <w:r>
              <w:rPr>
                <w:rFonts w:hint="eastAsia" w:ascii="Times New Roman" w:hAnsi="Times New Roman" w:cs="Times New Roman"/>
                <w:b w:val="0"/>
                <w:bCs w:val="0"/>
                <w:color w:val="auto"/>
                <w:sz w:val="24"/>
                <w:szCs w:val="24"/>
                <w:highlight w:val="none"/>
                <w:lang w:val="en-US" w:eastAsia="zh-CN"/>
              </w:rPr>
              <w:t>2.本项目标的产品由于含水率扣除原因在合同规定清运周期内按98.5%结算率结算。</w:t>
            </w:r>
          </w:p>
        </w:tc>
      </w:tr>
    </w:tbl>
    <w:p w14:paraId="41A3BEF0">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auto"/>
          <w:sz w:val="21"/>
          <w:szCs w:val="21"/>
          <w:highlight w:val="none"/>
          <w:lang w:val="en-US" w:eastAsia="zh-CN"/>
        </w:rPr>
      </w:pPr>
    </w:p>
    <w:bookmarkEnd w:id="86"/>
    <w:bookmarkEnd w:id="87"/>
    <w:bookmarkEnd w:id="88"/>
    <w:p w14:paraId="4293810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二、合同期限</w:t>
      </w:r>
    </w:p>
    <w:p w14:paraId="7BE12B6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89" w:name="_Toc4995_WPSOffice_Level1"/>
      <w:r>
        <w:rPr>
          <w:rFonts w:hint="default" w:ascii="Times New Roman" w:hAnsi="Times New Roman" w:cs="Times New Roman"/>
          <w:color w:val="auto"/>
          <w:sz w:val="28"/>
          <w:szCs w:val="28"/>
          <w:highlight w:val="none"/>
          <w:lang w:val="en-US" w:eastAsia="zh-CN"/>
        </w:rPr>
        <w:t>提货期限自</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日至</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lang w:val="en-US" w:eastAsia="zh-CN"/>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日，乙方具体拉</w:t>
      </w:r>
      <w:r>
        <w:rPr>
          <w:rFonts w:hint="default" w:ascii="Times New Roman" w:hAnsi="Times New Roman" w:cs="Times New Roman"/>
          <w:color w:val="auto"/>
          <w:sz w:val="28"/>
          <w:szCs w:val="28"/>
          <w:highlight w:val="none"/>
          <w:lang w:val="en-US" w:eastAsia="zh-CN"/>
        </w:rPr>
        <w:t>运产品</w:t>
      </w:r>
      <w:r>
        <w:rPr>
          <w:rFonts w:hint="default" w:ascii="Times New Roman" w:hAnsi="Times New Roman" w:cs="Times New Roman"/>
          <w:color w:val="auto"/>
          <w:sz w:val="28"/>
          <w:szCs w:val="28"/>
          <w:highlight w:val="none"/>
        </w:rPr>
        <w:t>时间以甲方现场通知为准。</w:t>
      </w:r>
      <w:r>
        <w:rPr>
          <w:rFonts w:hint="default" w:ascii="Times New Roman" w:hAnsi="Times New Roman" w:cs="Times New Roman"/>
          <w:color w:val="auto"/>
          <w:sz w:val="28"/>
          <w:szCs w:val="28"/>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56FD1D2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0" w:name="_Toc2028"/>
      <w:bookmarkStart w:id="91" w:name="_Toc29441"/>
      <w:r>
        <w:rPr>
          <w:rFonts w:hint="default" w:ascii="Times New Roman" w:hAnsi="Times New Roman" w:eastAsia="黑体" w:cs="Times New Roman"/>
          <w:b w:val="0"/>
          <w:bCs/>
          <w:color w:val="auto"/>
          <w:sz w:val="28"/>
          <w:szCs w:val="28"/>
          <w:highlight w:val="none"/>
          <w:lang w:val="en-US" w:eastAsia="zh-CN"/>
        </w:rPr>
        <w:t>三、交货运输</w:t>
      </w:r>
      <w:bookmarkEnd w:id="89"/>
      <w:bookmarkEnd w:id="90"/>
      <w:bookmarkEnd w:id="91"/>
    </w:p>
    <w:p w14:paraId="3775B3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1</w:t>
      </w:r>
      <w:r>
        <w:rPr>
          <w:rFonts w:hint="default" w:ascii="Times New Roman" w:hAnsi="Times New Roman" w:cs="Times New Roman"/>
          <w:color w:val="auto"/>
          <w:sz w:val="28"/>
          <w:szCs w:val="28"/>
          <w:highlight w:val="none"/>
          <w:lang w:val="en-US" w:eastAsia="zh-CN"/>
        </w:rPr>
        <w:t>.交货地点：池州市东至县安徽交控东流新材料有限公司柯家村矿矿区</w:t>
      </w:r>
      <w:r>
        <w:rPr>
          <w:rFonts w:hint="eastAsia" w:ascii="Times New Roman" w:hAnsi="Times New Roman" w:cs="Times New Roman"/>
          <w:color w:val="auto"/>
          <w:sz w:val="28"/>
          <w:szCs w:val="28"/>
          <w:highlight w:val="none"/>
          <w:lang w:val="en-US" w:eastAsia="zh-CN"/>
        </w:rPr>
        <w:t>指定堆场内</w:t>
      </w:r>
      <w:r>
        <w:rPr>
          <w:rFonts w:hint="default" w:ascii="Times New Roman" w:hAnsi="Times New Roman" w:cs="Times New Roman"/>
          <w:color w:val="auto"/>
          <w:sz w:val="28"/>
          <w:szCs w:val="28"/>
          <w:highlight w:val="none"/>
          <w:lang w:val="en-US" w:eastAsia="zh-CN"/>
        </w:rPr>
        <w:t>。</w:t>
      </w:r>
    </w:p>
    <w:p w14:paraId="0ED632AD">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2</w:t>
      </w:r>
      <w:r>
        <w:rPr>
          <w:rFonts w:hint="default" w:ascii="Times New Roman" w:hAnsi="Times New Roman" w:cs="Times New Roman"/>
          <w:color w:val="auto"/>
          <w:sz w:val="28"/>
          <w:szCs w:val="28"/>
          <w:highlight w:val="none"/>
          <w:lang w:val="en-US" w:eastAsia="zh-CN"/>
        </w:rPr>
        <w:t>.交货办法：</w:t>
      </w:r>
      <w:r>
        <w:rPr>
          <w:rFonts w:hint="eastAsia" w:ascii="Times New Roman" w:hAnsi="Times New Roman" w:cs="Times New Roman"/>
          <w:color w:val="auto"/>
          <w:sz w:val="28"/>
          <w:szCs w:val="28"/>
          <w:highlight w:val="none"/>
          <w:lang w:val="en-US" w:eastAsia="zh-CN"/>
        </w:rPr>
        <w:t>由甲方负责挖装，乙方汽运自提，</w:t>
      </w:r>
      <w:r>
        <w:rPr>
          <w:rFonts w:hint="default" w:ascii="Times New Roman" w:hAnsi="Times New Roman" w:cs="Times New Roman"/>
          <w:color w:val="auto"/>
          <w:sz w:val="28"/>
          <w:szCs w:val="28"/>
          <w:highlight w:val="none"/>
          <w:lang w:val="en-US" w:eastAsia="zh-CN"/>
        </w:rPr>
        <w:t>产品装车过磅后视为交付。</w:t>
      </w:r>
    </w:p>
    <w:p w14:paraId="5829F39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3</w:t>
      </w:r>
      <w:r>
        <w:rPr>
          <w:rFonts w:hint="default" w:ascii="Times New Roman" w:hAnsi="Times New Roman" w:cs="Times New Roman"/>
          <w:color w:val="auto"/>
          <w:sz w:val="28"/>
          <w:szCs w:val="28"/>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527200C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2" w:name="_Toc14216"/>
      <w:bookmarkStart w:id="93" w:name="_Toc7474"/>
      <w:bookmarkStart w:id="94" w:name="_Toc16562_WPSOffice_Level1"/>
      <w:r>
        <w:rPr>
          <w:rFonts w:hint="default" w:ascii="Times New Roman" w:hAnsi="Times New Roman" w:eastAsia="黑体" w:cs="Times New Roman"/>
          <w:b w:val="0"/>
          <w:bCs/>
          <w:color w:val="auto"/>
          <w:sz w:val="28"/>
          <w:szCs w:val="28"/>
          <w:highlight w:val="none"/>
          <w:lang w:val="en-US" w:eastAsia="zh-CN"/>
        </w:rPr>
        <w:t>四、</w:t>
      </w:r>
      <w:bookmarkEnd w:id="92"/>
      <w:bookmarkEnd w:id="93"/>
      <w:bookmarkEnd w:id="94"/>
      <w:r>
        <w:rPr>
          <w:rFonts w:hint="default" w:ascii="Times New Roman" w:hAnsi="Times New Roman" w:eastAsia="黑体" w:cs="Times New Roman"/>
          <w:b w:val="0"/>
          <w:bCs/>
          <w:color w:val="auto"/>
          <w:sz w:val="28"/>
          <w:szCs w:val="28"/>
          <w:highlight w:val="none"/>
          <w:lang w:val="en-US" w:eastAsia="zh-CN"/>
        </w:rPr>
        <w:t>风险提示</w:t>
      </w:r>
    </w:p>
    <w:p w14:paraId="395F98A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bookmarkStart w:id="95" w:name="_Toc15810"/>
      <w:bookmarkStart w:id="96" w:name="_Toc7885_WPSOffice_Level1"/>
      <w:bookmarkStart w:id="97" w:name="_Toc29128"/>
      <w:r>
        <w:rPr>
          <w:rFonts w:hint="default" w:ascii="Times New Roman" w:hAnsi="Times New Roman" w:cs="Times New Roman"/>
          <w:b w:val="0"/>
          <w:bCs w:val="0"/>
          <w:color w:val="auto"/>
          <w:sz w:val="28"/>
          <w:szCs w:val="28"/>
          <w:highlight w:val="none"/>
          <w:lang w:val="en-US" w:eastAsia="zh-CN"/>
        </w:rPr>
        <w:t>合同执行期内产品销售单价</w:t>
      </w:r>
      <w:r>
        <w:rPr>
          <w:rFonts w:hint="eastAsia" w:ascii="Times New Roman" w:hAnsi="Times New Roman" w:cs="Times New Roman"/>
          <w:b w:val="0"/>
          <w:bCs w:val="0"/>
          <w:color w:val="auto"/>
          <w:sz w:val="28"/>
          <w:szCs w:val="28"/>
          <w:highlight w:val="none"/>
          <w:lang w:val="en-US" w:eastAsia="zh-CN"/>
        </w:rPr>
        <w:t>不予调整。</w:t>
      </w:r>
    </w:p>
    <w:p w14:paraId="50CAA0A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五、款项结算</w:t>
      </w:r>
      <w:bookmarkEnd w:id="95"/>
      <w:bookmarkEnd w:id="96"/>
      <w:bookmarkEnd w:id="97"/>
    </w:p>
    <w:p w14:paraId="35EF421E">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98" w:name="_Toc2931"/>
      <w:bookmarkStart w:id="99" w:name="_Toc31267"/>
      <w:bookmarkStart w:id="100" w:name="_Toc12153_WPSOffice_Level1"/>
      <w:r>
        <w:rPr>
          <w:rFonts w:hint="default" w:ascii="Times New Roman" w:hAnsi="Times New Roman" w:cs="Times New Roman"/>
          <w:color w:val="auto"/>
          <w:kern w:val="2"/>
          <w:sz w:val="28"/>
          <w:szCs w:val="28"/>
          <w:highlight w:val="none"/>
          <w:lang w:val="en-US" w:eastAsia="zh-CN" w:bidi="ar-SA"/>
        </w:rPr>
        <w:t>1</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履约保证金：履约保证金为合同价款的2%，在合同签订前</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需全额支付至甲方指定账户，未按要求及时支付的，视为弃权，甲方有权没收乙方缴纳的全部竞买保证金。</w:t>
      </w:r>
    </w:p>
    <w:p w14:paraId="0F793B45">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2.货款的支付：合同签订后，乙方之前缴纳的竞买保证金直接转为货款，乙方需在合同签订后</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个工作日内支付合同金额</w:t>
      </w:r>
      <w:r>
        <w:rPr>
          <w:rFonts w:hint="eastAsia" w:ascii="Times New Roman" w:hAnsi="Times New Roman" w:cs="Times New Roman"/>
          <w:color w:val="auto"/>
          <w:sz w:val="28"/>
          <w:szCs w:val="28"/>
          <w:highlight w:val="none"/>
          <w:lang w:val="en-US" w:eastAsia="zh-CN"/>
        </w:rPr>
        <w:t>20</w:t>
      </w:r>
      <w:r>
        <w:rPr>
          <w:rFonts w:hint="default" w:ascii="Times New Roman" w:hAnsi="Times New Roman" w:cs="Times New Roman"/>
          <w:color w:val="auto"/>
          <w:sz w:val="28"/>
          <w:szCs w:val="28"/>
          <w:highlight w:val="none"/>
          <w:lang w:val="en-US" w:eastAsia="zh-CN"/>
        </w:rPr>
        <w:t>% 的货款计</w:t>
      </w:r>
      <w:r>
        <w:rPr>
          <w:rFonts w:hint="default" w:ascii="Times New Roman" w:hAnsi="Times New Roman" w:cs="Times New Roman"/>
          <w:color w:val="auto"/>
          <w:sz w:val="28"/>
          <w:szCs w:val="28"/>
          <w:highlight w:val="none"/>
          <w:u w:val="single"/>
          <w:lang w:val="en-US" w:eastAsia="zh-CN"/>
        </w:rPr>
        <w:t>大写+小写</w:t>
      </w:r>
      <w:r>
        <w:rPr>
          <w:rFonts w:hint="default" w:ascii="Times New Roman" w:hAnsi="Times New Roman" w:cs="Times New Roman"/>
          <w:color w:val="auto"/>
          <w:sz w:val="28"/>
          <w:szCs w:val="28"/>
          <w:highlight w:val="none"/>
          <w:lang w:val="en-US" w:eastAsia="zh-CN"/>
        </w:rPr>
        <w:t>元（含竞买保证金直接转化部分）至甲方指定账户。</w:t>
      </w:r>
    </w:p>
    <w:p w14:paraId="5B9BC8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3.双方结算以甲方场地内地磅的实际称量数据为准，甲、乙双方现场共同监督、签字确认。</w:t>
      </w:r>
    </w:p>
    <w:p w14:paraId="15F6B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4.甲方首次开出已缴纳货款对等的增值税发票，后期原则上于每月结算后开具符合国家规定的增值税发票，若乙方有特殊需求须书面通知甲方，甲方在国家政策允许范围内给予协调。</w:t>
      </w:r>
    </w:p>
    <w:p w14:paraId="17CC0CD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5.完成全部提货后</w:t>
      </w:r>
      <w:r>
        <w:rPr>
          <w:rFonts w:hint="default" w:ascii="Times New Roman" w:hAnsi="Times New Roman" w:cs="Times New Roman"/>
          <w:color w:val="auto"/>
          <w:sz w:val="28"/>
          <w:szCs w:val="28"/>
          <w:highlight w:val="none"/>
          <w:lang w:val="zh-TW" w:eastAsia="zh-CN"/>
        </w:rPr>
        <w:t>7</w:t>
      </w:r>
      <w:r>
        <w:rPr>
          <w:rFonts w:hint="default" w:ascii="Times New Roman" w:hAnsi="Times New Roman" w:cs="Times New Roman"/>
          <w:color w:val="auto"/>
          <w:sz w:val="28"/>
          <w:szCs w:val="28"/>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5355698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六、违约责任</w:t>
      </w:r>
      <w:bookmarkEnd w:id="98"/>
      <w:bookmarkEnd w:id="99"/>
      <w:bookmarkEnd w:id="100"/>
    </w:p>
    <w:p w14:paraId="2933FDA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101" w:name="_Toc8309"/>
      <w:bookmarkStart w:id="102" w:name="_Toc10413_WPSOffice_Level1"/>
      <w:bookmarkStart w:id="103" w:name="_Toc18090"/>
      <w:r>
        <w:rPr>
          <w:rFonts w:hint="default" w:ascii="Times New Roman" w:hAnsi="Times New Roman" w:cs="Times New Roman"/>
          <w:color w:val="auto"/>
          <w:sz w:val="28"/>
          <w:szCs w:val="28"/>
          <w:highlight w:val="none"/>
          <w:lang w:val="en-US" w:eastAsia="zh-CN"/>
        </w:rPr>
        <w:t>1.合同提货期内乙方完成提货量为合同量的</w:t>
      </w: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0%（含）以上时，不视为乙方违约。</w:t>
      </w:r>
    </w:p>
    <w:p w14:paraId="3A46FC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2.乙方</w:t>
      </w:r>
      <w:r>
        <w:rPr>
          <w:rFonts w:hint="default" w:ascii="Times New Roman" w:hAnsi="Times New Roman" w:cs="Times New Roman"/>
          <w:color w:val="auto"/>
          <w:sz w:val="28"/>
          <w:szCs w:val="28"/>
          <w:highlight w:val="none"/>
          <w:lang w:val="en-US" w:eastAsia="zh-CN"/>
        </w:rPr>
        <w:t>完成提货量为合同交易量50%（含）~80%时，视为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违约，须承担迟滞提货违约金，迟滞提货违约金计算标准：（合同交易量-累计提货量）×2元/吨。迟滞违约金从履约保证金中扣除，保证金不足的乙方需补交；</w:t>
      </w:r>
    </w:p>
    <w:p w14:paraId="7339D3B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3.乙方</w:t>
      </w:r>
      <w:r>
        <w:rPr>
          <w:rFonts w:hint="default" w:ascii="Times New Roman" w:hAnsi="Times New Roman" w:cs="Times New Roman"/>
          <w:color w:val="auto"/>
          <w:sz w:val="28"/>
          <w:szCs w:val="28"/>
          <w:highlight w:val="none"/>
          <w:lang w:val="en-US" w:eastAsia="zh-CN"/>
        </w:rPr>
        <w:t>完成提货量为合同交易量50%以下时，视为</w:t>
      </w:r>
      <w:r>
        <w:rPr>
          <w:rFonts w:hint="eastAsia"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en-US" w:eastAsia="zh-CN"/>
        </w:rPr>
        <w:t>严重违约，须承担迟滞提货违约金，迟滞提货违约金计算标准：（合同交易量-累计提货量）×3元/吨，同时将其列入黑名单，限制其2个月内不得参与公司开展的其他销售项目；</w:t>
      </w:r>
    </w:p>
    <w:p w14:paraId="4B3BBC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zh-TW"/>
        </w:rPr>
        <w:t>乙方人员进入甲方场地违反甲方规章制度或安全管理</w:t>
      </w:r>
      <w:r>
        <w:rPr>
          <w:rFonts w:hint="default" w:ascii="Times New Roman" w:hAnsi="Times New Roman" w:cs="Times New Roman"/>
          <w:color w:val="auto"/>
          <w:sz w:val="28"/>
          <w:szCs w:val="28"/>
          <w:highlight w:val="none"/>
          <w:lang w:val="en-US" w:eastAsia="zh-CN"/>
        </w:rPr>
        <w:t>条例造成</w:t>
      </w:r>
      <w:r>
        <w:rPr>
          <w:rFonts w:hint="default" w:ascii="Times New Roman" w:hAnsi="Times New Roman" w:cs="Times New Roman"/>
          <w:color w:val="auto"/>
          <w:sz w:val="28"/>
          <w:szCs w:val="28"/>
          <w:highlight w:val="none"/>
          <w:lang w:val="zh-TW"/>
        </w:rPr>
        <w:t>事故</w:t>
      </w:r>
      <w:r>
        <w:rPr>
          <w:rFonts w:hint="default"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zh-TW"/>
        </w:rPr>
        <w:t>，乙方须承担该事故全部责任，并赔偿</w:t>
      </w:r>
      <w:r>
        <w:rPr>
          <w:rFonts w:hint="default"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zh-TW"/>
        </w:rPr>
        <w:t>全部损失。</w:t>
      </w:r>
    </w:p>
    <w:p w14:paraId="0BB3B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zh-TW"/>
        </w:rPr>
        <w:t>.如</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支付的</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color w:val="auto"/>
          <w:sz w:val="28"/>
          <w:szCs w:val="28"/>
          <w:highlight w:val="none"/>
          <w:lang w:val="zh-TW"/>
        </w:rPr>
        <w:t>违约金</w:t>
      </w:r>
      <w:r>
        <w:rPr>
          <w:rFonts w:hint="default" w:ascii="Times New Roman" w:hAnsi="Times New Roman" w:cs="Times New Roman"/>
          <w:color w:val="auto"/>
          <w:sz w:val="28"/>
          <w:szCs w:val="28"/>
          <w:highlight w:val="none"/>
          <w:lang w:val="en-US" w:eastAsia="zh-CN"/>
        </w:rPr>
        <w:t>及预付货款余额</w:t>
      </w:r>
      <w:r>
        <w:rPr>
          <w:rFonts w:hint="default" w:ascii="Times New Roman" w:hAnsi="Times New Roman" w:cs="Times New Roman"/>
          <w:color w:val="auto"/>
          <w:sz w:val="28"/>
          <w:szCs w:val="28"/>
          <w:highlight w:val="none"/>
          <w:lang w:val="zh-TW"/>
        </w:rPr>
        <w:t>不足以赔偿</w:t>
      </w:r>
      <w:r>
        <w:rPr>
          <w:rFonts w:hint="default" w:ascii="Times New Roman" w:hAnsi="Times New Roman" w:cs="Times New Roman"/>
          <w:color w:val="auto"/>
          <w:sz w:val="28"/>
          <w:szCs w:val="28"/>
          <w:highlight w:val="none"/>
          <w:lang w:val="en-US" w:eastAsia="zh-CN"/>
        </w:rPr>
        <w:t>甲</w:t>
      </w:r>
      <w:r>
        <w:rPr>
          <w:rFonts w:hint="default" w:ascii="Times New Roman" w:hAnsi="Times New Roman" w:cs="Times New Roman"/>
          <w:color w:val="auto"/>
          <w:sz w:val="28"/>
          <w:szCs w:val="28"/>
          <w:highlight w:val="none"/>
          <w:lang w:val="zh-TW"/>
        </w:rPr>
        <w:t>方损失的，</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应</w:t>
      </w:r>
      <w:r>
        <w:rPr>
          <w:rFonts w:hint="default" w:ascii="Times New Roman" w:hAnsi="Times New Roman" w:cs="Times New Roman"/>
          <w:color w:val="auto"/>
          <w:sz w:val="28"/>
          <w:szCs w:val="28"/>
          <w:highlight w:val="none"/>
          <w:lang w:val="en-US" w:eastAsia="zh-CN"/>
        </w:rPr>
        <w:t>继续</w:t>
      </w:r>
      <w:r>
        <w:rPr>
          <w:rFonts w:hint="default" w:ascii="Times New Roman" w:hAnsi="Times New Roman" w:cs="Times New Roman"/>
          <w:color w:val="auto"/>
          <w:sz w:val="28"/>
          <w:szCs w:val="28"/>
          <w:highlight w:val="none"/>
          <w:lang w:val="zh-TW"/>
        </w:rPr>
        <w:t>赔偿损失。损失包括但不限于直接或间接的利润损失、商誉损失、机会损失及为制止违约行为所支付的合理费用（律师费、诉讼费、调查费用、公证费用等）。</w:t>
      </w:r>
    </w:p>
    <w:p w14:paraId="362277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eastAsia="zh-CN"/>
        </w:rPr>
        <w:t>乙方运输车辆装载</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lang w:val="zh-TW" w:eastAsia="zh-CN"/>
        </w:rPr>
        <w:t>后没有过磅的，每</w:t>
      </w:r>
      <w:r>
        <w:rPr>
          <w:rFonts w:hint="default" w:ascii="Times New Roman" w:hAnsi="Times New Roman" w:cs="Times New Roman"/>
          <w:color w:val="auto"/>
          <w:sz w:val="28"/>
          <w:szCs w:val="28"/>
          <w:highlight w:val="none"/>
          <w:lang w:val="en-US" w:eastAsia="zh-CN"/>
        </w:rPr>
        <w:t>车</w:t>
      </w:r>
      <w:r>
        <w:rPr>
          <w:rFonts w:hint="default" w:ascii="Times New Roman" w:hAnsi="Times New Roman" w:cs="Times New Roman"/>
          <w:color w:val="auto"/>
          <w:sz w:val="28"/>
          <w:szCs w:val="28"/>
          <w:highlight w:val="none"/>
          <w:lang w:val="zh-TW" w:eastAsia="zh-CN"/>
        </w:rPr>
        <w:t>次扣</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zh-TW" w:eastAsia="zh-CN"/>
        </w:rPr>
        <w:t>万元违约金，</w:t>
      </w:r>
      <w:r>
        <w:rPr>
          <w:rFonts w:hint="default" w:ascii="Times New Roman" w:hAnsi="Times New Roman" w:cs="Times New Roman"/>
          <w:color w:val="auto"/>
          <w:sz w:val="28"/>
          <w:szCs w:val="28"/>
          <w:highlight w:val="none"/>
          <w:lang w:val="en-US" w:eastAsia="zh-CN"/>
        </w:rPr>
        <w:t>直接在履约保证金中扣除</w:t>
      </w:r>
      <w:r>
        <w:rPr>
          <w:rFonts w:hint="default" w:ascii="Times New Roman" w:hAnsi="Times New Roman" w:cs="Times New Roman"/>
          <w:color w:val="auto"/>
          <w:sz w:val="28"/>
          <w:szCs w:val="28"/>
          <w:highlight w:val="none"/>
          <w:lang w:val="zh-TW" w:eastAsia="zh-CN"/>
        </w:rPr>
        <w:t>。</w:t>
      </w:r>
    </w:p>
    <w:p w14:paraId="2FF01D3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.若乙方不能按约定支付履约保证金和预付货款，甲方有权解除合同并取消乙方开户资格。</w:t>
      </w:r>
    </w:p>
    <w:p w14:paraId="7D8B64E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.若乙方未通知甲方私自拉料，每次扣除5万元违约金，直接在履约保证金中扣除，甲方有权追加相关赔偿、终止合同，并将依法移交公安机关处置。</w:t>
      </w:r>
    </w:p>
    <w:p w14:paraId="623E51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rPr>
      </w:pP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rPr>
        <w:t>在甲方指定</w:t>
      </w:r>
      <w:r>
        <w:rPr>
          <w:rFonts w:hint="default" w:ascii="Times New Roman" w:hAnsi="Times New Roman" w:cs="Times New Roman"/>
          <w:color w:val="auto"/>
          <w:sz w:val="28"/>
          <w:szCs w:val="28"/>
          <w:highlight w:val="none"/>
          <w:lang w:val="en-US" w:eastAsia="zh-CN"/>
        </w:rPr>
        <w:t>地点</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按照</w:t>
      </w:r>
      <w:r>
        <w:rPr>
          <w:rFonts w:hint="default" w:ascii="Times New Roman" w:hAnsi="Times New Roman" w:cs="Times New Roman"/>
          <w:color w:val="auto"/>
          <w:sz w:val="28"/>
          <w:szCs w:val="28"/>
          <w:highlight w:val="none"/>
        </w:rPr>
        <w:t>甲方要求进行运输，服从甲方现场人员管理，不得</w:t>
      </w:r>
      <w:r>
        <w:rPr>
          <w:rFonts w:hint="default" w:ascii="Times New Roman" w:hAnsi="Times New Roman" w:cs="Times New Roman"/>
          <w:b/>
          <w:bCs/>
          <w:color w:val="000000" w:themeColor="text1"/>
          <w:sz w:val="28"/>
          <w:szCs w:val="28"/>
          <w:highlight w:val="none"/>
          <w14:textFill>
            <w14:solidFill>
              <w14:schemeClr w14:val="tx1"/>
            </w14:solidFill>
          </w14:textFill>
        </w:rPr>
        <w:t>选装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14:textFill>
            <w14:solidFill>
              <w14:schemeClr w14:val="tx1"/>
            </w14:solidFill>
          </w14:textFill>
        </w:rPr>
        <w:t>拒装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错装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auto"/>
          <w:sz w:val="28"/>
          <w:szCs w:val="28"/>
          <w:highlight w:val="none"/>
          <w:lang w:val="en-US" w:eastAsia="zh-CN"/>
        </w:rPr>
        <w:t>出现上述情况，甲方有权予以1万元/次违约处罚。</w:t>
      </w:r>
    </w:p>
    <w:p w14:paraId="3A8AC86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10</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rPr>
        <w:t>乙方存在其他违反本合同约定义务的行为，甲方有权要求其支付0.5万元/次的</w:t>
      </w:r>
      <w:r>
        <w:rPr>
          <w:rFonts w:hint="default" w:ascii="Times New Roman" w:hAnsi="Times New Roman" w:cs="Times New Roman"/>
          <w:color w:val="auto"/>
          <w:sz w:val="28"/>
          <w:szCs w:val="28"/>
          <w:highlight w:val="none"/>
          <w:lang w:val="zh-TW" w:eastAsia="zh-CN"/>
        </w:rPr>
        <w:t>违约金。</w:t>
      </w:r>
    </w:p>
    <w:p w14:paraId="68C7136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七、协商与裁决</w:t>
      </w:r>
      <w:bookmarkEnd w:id="101"/>
      <w:bookmarkEnd w:id="102"/>
      <w:bookmarkEnd w:id="103"/>
    </w:p>
    <w:p w14:paraId="6855394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1.甲乙双方的任何一方由于不可抗力原因不能履行合同时，应及时用书面方式向对方通报不能完全不履行合同的理由，双方协商解决，减少损失。</w:t>
      </w:r>
    </w:p>
    <w:p w14:paraId="3DC1D3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未尽事宜双方友好协商解决。如双方对执行本合同或为本合同有关之条款争执，不能协商解决时，双方均有权向</w:t>
      </w:r>
      <w:r>
        <w:rPr>
          <w:rFonts w:hint="default" w:ascii="Times New Roman" w:hAnsi="Times New Roman" w:cs="Times New Roman"/>
          <w:color w:val="auto"/>
          <w:sz w:val="28"/>
          <w:szCs w:val="28"/>
          <w:highlight w:val="none"/>
          <w:lang w:val="en-US" w:eastAsia="zh-CN"/>
        </w:rPr>
        <w:t>甲方所在地</w:t>
      </w:r>
      <w:r>
        <w:rPr>
          <w:rFonts w:hint="default" w:ascii="Times New Roman" w:hAnsi="Times New Roman" w:cs="Times New Roman"/>
          <w:color w:val="auto"/>
          <w:sz w:val="28"/>
          <w:szCs w:val="28"/>
          <w:highlight w:val="none"/>
        </w:rPr>
        <w:t>人民法院提起诉讼。</w:t>
      </w:r>
    </w:p>
    <w:p w14:paraId="6FFFC7D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4" w:name="_Toc2172"/>
      <w:bookmarkStart w:id="105" w:name="_Toc18847"/>
      <w:bookmarkStart w:id="106" w:name="_Toc30423_WPSOffice_Level1"/>
      <w:r>
        <w:rPr>
          <w:rFonts w:hint="default" w:ascii="Times New Roman" w:hAnsi="Times New Roman" w:eastAsia="黑体" w:cs="Times New Roman"/>
          <w:b w:val="0"/>
          <w:bCs/>
          <w:color w:val="auto"/>
          <w:sz w:val="28"/>
          <w:szCs w:val="28"/>
          <w:highlight w:val="none"/>
          <w:lang w:val="en-US" w:eastAsia="zh-CN"/>
        </w:rPr>
        <w:t>八、特别约定</w:t>
      </w:r>
    </w:p>
    <w:p w14:paraId="3A8603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1.甲方出售给乙方的</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以现状为准，乙方签订本合同即表明接受标的物现状，甲方不承担本标的物的瑕疵担保责任。</w:t>
      </w:r>
    </w:p>
    <w:p w14:paraId="7B176D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因甲方原因造成供货不及时</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货源不充足</w:t>
      </w:r>
      <w:r>
        <w:rPr>
          <w:rFonts w:hint="eastAsia" w:ascii="Times New Roman" w:hAnsi="Times New Roman" w:cs="Times New Roman"/>
          <w:color w:val="auto"/>
          <w:sz w:val="28"/>
          <w:szCs w:val="28"/>
          <w:highlight w:val="none"/>
          <w:lang w:val="en-US" w:eastAsia="zh-CN"/>
        </w:rPr>
        <w:t>或因持续阴雨天气对乙方拉运作业造成影响的</w:t>
      </w:r>
      <w:r>
        <w:rPr>
          <w:rFonts w:hint="default" w:ascii="Times New Roman" w:hAnsi="Times New Roman" w:cs="Times New Roman"/>
          <w:color w:val="auto"/>
          <w:sz w:val="28"/>
          <w:szCs w:val="28"/>
          <w:highlight w:val="none"/>
          <w:lang w:val="en-US" w:eastAsia="zh-CN"/>
        </w:rPr>
        <w:t>，乙方向甲方提出合同履约延期申请（纸质文件），甲方视情况予以顺延。</w:t>
      </w:r>
    </w:p>
    <w:p w14:paraId="07BF61D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.在装运</w:t>
      </w:r>
      <w:r>
        <w:rPr>
          <w:rFonts w:hint="default" w:ascii="Times New Roman" w:hAnsi="Times New Roman" w:cs="Times New Roman"/>
          <w:color w:val="auto"/>
          <w:sz w:val="28"/>
          <w:szCs w:val="28"/>
          <w:highlight w:val="none"/>
          <w:lang w:val="en-US" w:eastAsia="zh-CN"/>
        </w:rPr>
        <w:t>产品期间</w:t>
      </w:r>
      <w:r>
        <w:rPr>
          <w:rFonts w:hint="default" w:ascii="Times New Roman" w:hAnsi="Times New Roman" w:cs="Times New Roman"/>
          <w:color w:val="auto"/>
          <w:sz w:val="28"/>
          <w:szCs w:val="28"/>
          <w:highlight w:val="none"/>
        </w:rPr>
        <w:t>，甲乙双方均应派专人到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堆场，进行现场管理。</w:t>
      </w:r>
    </w:p>
    <w:p w14:paraId="11D2792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eastAsia="zh-CN"/>
        </w:rPr>
        <w:t>或乙方委托第三方到指定地点运输</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应</w:t>
      </w:r>
      <w:r>
        <w:rPr>
          <w:rFonts w:hint="default" w:ascii="Times New Roman" w:hAnsi="Times New Roman" w:cs="Times New Roman"/>
          <w:color w:val="auto"/>
          <w:sz w:val="28"/>
          <w:szCs w:val="28"/>
          <w:highlight w:val="none"/>
        </w:rPr>
        <w:t>确保运输车辆和运输人员具备相应</w:t>
      </w:r>
      <w:r>
        <w:rPr>
          <w:rFonts w:hint="default" w:ascii="Times New Roman" w:hAnsi="Times New Roman" w:cs="Times New Roman"/>
          <w:color w:val="auto"/>
          <w:sz w:val="28"/>
          <w:szCs w:val="28"/>
          <w:highlight w:val="none"/>
          <w:lang w:val="en-US" w:eastAsia="zh-CN"/>
        </w:rPr>
        <w:t>资质，禁止无证作业等非法行为。</w:t>
      </w:r>
    </w:p>
    <w:p w14:paraId="37D5E3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5.为便于现场管理，乙方在拉运产品前一天，需以书面或微信、短信形式将运输车辆及相关信息（包括但不限于车牌号、车辆型号、发运公司、运输物品名称）报送至甲方工程部矿山板块负责人处。</w:t>
      </w:r>
    </w:p>
    <w:bookmarkEnd w:id="104"/>
    <w:bookmarkEnd w:id="105"/>
    <w:bookmarkEnd w:id="106"/>
    <w:p w14:paraId="11F1508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7" w:name="_Toc1089"/>
      <w:bookmarkStart w:id="108" w:name="_Toc27827_WPSOffice_Level1"/>
      <w:bookmarkStart w:id="109" w:name="_Toc11846"/>
      <w:r>
        <w:rPr>
          <w:rFonts w:hint="default" w:ascii="Times New Roman" w:hAnsi="Times New Roman" w:eastAsia="黑体" w:cs="Times New Roman"/>
          <w:b w:val="0"/>
          <w:bCs/>
          <w:color w:val="auto"/>
          <w:sz w:val="28"/>
          <w:szCs w:val="28"/>
          <w:highlight w:val="none"/>
          <w:lang w:val="en-US" w:eastAsia="zh-CN"/>
        </w:rPr>
        <w:t>九、通知与送达</w:t>
      </w:r>
      <w:bookmarkEnd w:id="107"/>
      <w:bookmarkEnd w:id="108"/>
      <w:bookmarkEnd w:id="109"/>
    </w:p>
    <w:p w14:paraId="64CA209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bookmarkStart w:id="110" w:name="_Toc262_WPSOffice_Level1"/>
      <w:r>
        <w:rPr>
          <w:rFonts w:hint="default" w:ascii="Times New Roman" w:hAnsi="Times New Roman" w:cs="Times New Roman"/>
          <w:color w:val="auto"/>
          <w:sz w:val="28"/>
          <w:szCs w:val="28"/>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28"/>
          <w:szCs w:val="28"/>
          <w:highlight w:val="none"/>
          <w:lang w:val="en-US" w:eastAsia="zh-CN"/>
        </w:rPr>
        <w:t>下</w:t>
      </w:r>
      <w:r>
        <w:rPr>
          <w:rFonts w:hint="default" w:ascii="Times New Roman" w:hAnsi="Times New Roman" w:cs="Times New Roman"/>
          <w:color w:val="auto"/>
          <w:sz w:val="28"/>
          <w:szCs w:val="28"/>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12C7EEE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甲方送达地址：</w:t>
      </w:r>
      <w:r>
        <w:rPr>
          <w:rFonts w:hint="default" w:ascii="Times New Roman" w:hAnsi="Times New Roman" w:cs="Times New Roman"/>
          <w:color w:val="auto"/>
          <w:sz w:val="28"/>
          <w:szCs w:val="28"/>
          <w:highlight w:val="none"/>
          <w:lang w:val="en-US" w:eastAsia="zh-CN"/>
        </w:rPr>
        <w:t>安徽省池州市东至县东流镇</w:t>
      </w:r>
      <w:r>
        <w:rPr>
          <w:rFonts w:hint="eastAsia" w:ascii="Times New Roman" w:hAnsi="Times New Roman" w:cs="Times New Roman"/>
          <w:color w:val="auto"/>
          <w:sz w:val="28"/>
          <w:szCs w:val="28"/>
          <w:highlight w:val="none"/>
          <w:lang w:val="en-US" w:eastAsia="zh-CN"/>
        </w:rPr>
        <w:t>安徽交控东流新材料有限公司三楼市场营销部</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zcb@jiaokongdlxcl.com</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lang w:val="en-US" w:eastAsia="zh-CN"/>
        </w:rPr>
        <w:t>0566—8019001</w:t>
      </w:r>
      <w:r>
        <w:rPr>
          <w:rFonts w:hint="default" w:ascii="Times New Roman" w:hAnsi="Times New Roman" w:cs="Times New Roman"/>
          <w:color w:val="auto"/>
          <w:sz w:val="28"/>
          <w:szCs w:val="28"/>
          <w:highlight w:val="none"/>
          <w:u w:val="none"/>
          <w:lang w:val="en-US" w:eastAsia="zh-CN"/>
        </w:rPr>
        <w:t>。</w:t>
      </w:r>
    </w:p>
    <w:p w14:paraId="5C0ED6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u w:val="single"/>
        </w:rPr>
      </w:pPr>
      <w:r>
        <w:rPr>
          <w:rFonts w:hint="default" w:ascii="Times New Roman" w:hAnsi="Times New Roman" w:cs="Times New Roman"/>
          <w:color w:val="auto"/>
          <w:sz w:val="28"/>
          <w:szCs w:val="28"/>
          <w:highlight w:val="none"/>
        </w:rPr>
        <w:t>乙方送达地址：</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none"/>
        </w:rPr>
        <w:t xml:space="preserve"> </w:t>
      </w:r>
    </w:p>
    <w:p w14:paraId="0A6BBC6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11" w:name="_Toc21970"/>
      <w:bookmarkStart w:id="112" w:name="_Toc26354"/>
      <w:r>
        <w:rPr>
          <w:rFonts w:hint="default" w:ascii="Times New Roman" w:hAnsi="Times New Roman" w:eastAsia="黑体" w:cs="Times New Roman"/>
          <w:b w:val="0"/>
          <w:bCs/>
          <w:color w:val="auto"/>
          <w:sz w:val="28"/>
          <w:szCs w:val="28"/>
          <w:highlight w:val="none"/>
          <w:lang w:val="en-US" w:eastAsia="zh-CN"/>
        </w:rPr>
        <w:t>十、其他</w:t>
      </w:r>
      <w:bookmarkEnd w:id="110"/>
      <w:bookmarkEnd w:id="111"/>
      <w:bookmarkEnd w:id="112"/>
    </w:p>
    <w:p w14:paraId="00FDA24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1.</w:t>
      </w:r>
      <w:r>
        <w:rPr>
          <w:rFonts w:hint="default" w:ascii="Times New Roman" w:hAnsi="Times New Roman" w:cs="Times New Roman"/>
          <w:color w:val="auto"/>
          <w:sz w:val="28"/>
          <w:szCs w:val="28"/>
          <w:highlight w:val="none"/>
        </w:rPr>
        <w:t>本合同的附件为本合同不可分割的一部分；本合同及其附件内空格部分填写的文字与印刷文字具有同等法律效力。</w:t>
      </w:r>
    </w:p>
    <w:p w14:paraId="32F1ADA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2.</w:t>
      </w:r>
      <w:r>
        <w:rPr>
          <w:rFonts w:hint="default" w:ascii="Times New Roman" w:hAnsi="Times New Roman" w:cs="Times New Roman"/>
          <w:color w:val="auto"/>
          <w:sz w:val="28"/>
          <w:szCs w:val="28"/>
          <w:highlight w:val="none"/>
        </w:rPr>
        <w:t>本合同一式</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陆</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份，甲、乙双方各执 </w:t>
      </w:r>
      <w:r>
        <w:rPr>
          <w:rFonts w:hint="default" w:ascii="Times New Roman" w:hAnsi="Times New Roman" w:cs="Times New Roman"/>
          <w:color w:val="auto"/>
          <w:sz w:val="28"/>
          <w:szCs w:val="28"/>
          <w:highlight w:val="none"/>
          <w:u w:val="single"/>
          <w:lang w:val="en-US" w:eastAsia="zh-CN"/>
        </w:rPr>
        <w:t>叁</w:t>
      </w:r>
      <w:r>
        <w:rPr>
          <w:rFonts w:hint="default" w:ascii="Times New Roman" w:hAnsi="Times New Roman" w:cs="Times New Roman"/>
          <w:color w:val="auto"/>
          <w:sz w:val="28"/>
          <w:szCs w:val="28"/>
          <w:highlight w:val="none"/>
        </w:rPr>
        <w:t xml:space="preserve"> 份，具有同等法律效力，双方签字盖章、乙方支付预付货款后生效。甲、乙双方合同履约完成，结算支付完成，相关款项结清后，本合同自动失效。</w:t>
      </w:r>
    </w:p>
    <w:p w14:paraId="2B80519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rPr>
        <w:t>3.</w:t>
      </w:r>
      <w:r>
        <w:rPr>
          <w:rFonts w:hint="default" w:ascii="Times New Roman" w:hAnsi="Times New Roman" w:cs="Times New Roman"/>
          <w:color w:val="auto"/>
          <w:sz w:val="28"/>
          <w:szCs w:val="28"/>
          <w:highlight w:val="none"/>
        </w:rPr>
        <w:t>合同执行期间，甲、乙双方均不得随意变更或解除合同条款（合同规定可变更或解除条款除外），合同未尽事宜，经双方共同协商，签订补充合同，补充合同与本合同具有同等效力。</w:t>
      </w:r>
    </w:p>
    <w:p w14:paraId="3ED6828D">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以下无正文。</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55F2ED02">
        <w:tblPrEx>
          <w:tblCellMar>
            <w:top w:w="0" w:type="dxa"/>
            <w:left w:w="108" w:type="dxa"/>
            <w:bottom w:w="0" w:type="dxa"/>
            <w:right w:w="108" w:type="dxa"/>
          </w:tblCellMar>
        </w:tblPrEx>
        <w:trPr>
          <w:trHeight w:val="1094" w:hRule="atLeast"/>
          <w:jc w:val="center"/>
        </w:trPr>
        <w:tc>
          <w:tcPr>
            <w:tcW w:w="4433" w:type="dxa"/>
            <w:noWrap w:val="0"/>
            <w:vAlign w:val="center"/>
          </w:tcPr>
          <w:p w14:paraId="0257E1A3">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bookmarkStart w:id="113" w:name="_Toc12240"/>
            <w:bookmarkStart w:id="114" w:name="_Toc15575"/>
            <w:bookmarkStart w:id="115" w:name="_Toc31823"/>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7FC49C0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7AF1BF39">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6CE1C5E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6E6C51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F18E16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5DB60DC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3A603ED1">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05EBF8D7">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4031A6F3">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5743EF3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7E9D9D8C">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3D23F38B">
      <w:pP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br w:type="page"/>
      </w:r>
    </w:p>
    <w:p w14:paraId="0E4D7979">
      <w:pPr>
        <w:widowControl/>
        <w:spacing w:line="24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3"/>
      <w:bookmarkEnd w:id="114"/>
      <w:bookmarkEnd w:id="115"/>
    </w:p>
    <w:p w14:paraId="45B0B71C">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廉政合同</w:t>
      </w:r>
    </w:p>
    <w:p w14:paraId="286B84E5">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4CB1598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5DC3C7E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en-US" w:eastAsia="zh-CN"/>
        </w:rPr>
      </w:pPr>
      <w:bookmarkStart w:id="116" w:name="_Toc5178"/>
      <w:bookmarkStart w:id="117" w:name="_Toc3145"/>
      <w:bookmarkStart w:id="118" w:name="_Toc11222"/>
      <w:bookmarkStart w:id="119" w:name="_Toc27029"/>
      <w:r>
        <w:rPr>
          <w:rFonts w:hint="default" w:ascii="Times New Roman" w:hAnsi="Times New Roman" w:eastAsia="黑体" w:cs="Times New Roman"/>
          <w:b w:val="0"/>
          <w:bCs w:val="0"/>
          <w:color w:val="auto"/>
          <w:sz w:val="28"/>
          <w:szCs w:val="28"/>
          <w:highlight w:val="none"/>
          <w:lang w:val="en-US" w:eastAsia="zh-CN"/>
        </w:rPr>
        <w:t>一、甲、乙双方的权利和义务</w:t>
      </w:r>
      <w:bookmarkEnd w:id="116"/>
      <w:bookmarkEnd w:id="117"/>
      <w:bookmarkEnd w:id="118"/>
      <w:bookmarkEnd w:id="119"/>
    </w:p>
    <w:p w14:paraId="7D827DA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7499011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7AA82BD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0AEB83F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7F61881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2455C3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2872DB9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0" w:name="_Toc16620"/>
      <w:bookmarkStart w:id="121" w:name="_Toc14447"/>
      <w:bookmarkStart w:id="122" w:name="_Toc2456"/>
      <w:bookmarkStart w:id="123" w:name="_Toc32103"/>
      <w:r>
        <w:rPr>
          <w:rFonts w:hint="default" w:ascii="Times New Roman" w:hAnsi="Times New Roman" w:eastAsia="黑体" w:cs="Times New Roman"/>
          <w:b w:val="0"/>
          <w:bCs w:val="0"/>
          <w:color w:val="auto"/>
          <w:sz w:val="28"/>
          <w:szCs w:val="28"/>
          <w:highlight w:val="none"/>
          <w:lang w:val="zh-TW" w:eastAsia="zh-CN"/>
        </w:rPr>
        <w:t>二、甲方的义务</w:t>
      </w:r>
      <w:bookmarkEnd w:id="120"/>
      <w:bookmarkEnd w:id="121"/>
      <w:bookmarkEnd w:id="122"/>
      <w:bookmarkEnd w:id="123"/>
    </w:p>
    <w:p w14:paraId="56ED17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7B580FD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297E44B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348CB1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242CE5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5F8555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0ECBF1F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4" w:name="_Toc7587"/>
      <w:bookmarkStart w:id="125" w:name="_Toc25165"/>
      <w:bookmarkStart w:id="126" w:name="_Toc8726"/>
      <w:bookmarkStart w:id="127" w:name="_Toc314"/>
      <w:r>
        <w:rPr>
          <w:rFonts w:hint="default" w:ascii="Times New Roman" w:hAnsi="Times New Roman" w:eastAsia="黑体" w:cs="Times New Roman"/>
          <w:b w:val="0"/>
          <w:bCs w:val="0"/>
          <w:color w:val="auto"/>
          <w:sz w:val="28"/>
          <w:szCs w:val="28"/>
          <w:highlight w:val="none"/>
          <w:lang w:val="zh-TW" w:eastAsia="zh-CN"/>
        </w:rPr>
        <w:t>三、乙方的义务</w:t>
      </w:r>
      <w:bookmarkEnd w:id="124"/>
      <w:bookmarkEnd w:id="125"/>
      <w:bookmarkEnd w:id="126"/>
      <w:bookmarkEnd w:id="127"/>
    </w:p>
    <w:p w14:paraId="2DABA1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792CF1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3484EE6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19B7E62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30925F6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8" w:name="_Toc17857"/>
      <w:bookmarkStart w:id="129" w:name="_Toc5553"/>
      <w:bookmarkStart w:id="130" w:name="_Toc15109"/>
      <w:bookmarkStart w:id="131" w:name="_Toc3042"/>
      <w:r>
        <w:rPr>
          <w:rFonts w:hint="default" w:ascii="Times New Roman" w:hAnsi="Times New Roman" w:eastAsia="黑体" w:cs="Times New Roman"/>
          <w:b w:val="0"/>
          <w:bCs w:val="0"/>
          <w:color w:val="auto"/>
          <w:sz w:val="28"/>
          <w:szCs w:val="28"/>
          <w:highlight w:val="none"/>
          <w:lang w:val="zh-TW" w:eastAsia="zh-CN"/>
        </w:rPr>
        <w:t>四、违约责任</w:t>
      </w:r>
      <w:bookmarkEnd w:id="128"/>
      <w:bookmarkEnd w:id="129"/>
      <w:bookmarkEnd w:id="130"/>
      <w:bookmarkEnd w:id="131"/>
    </w:p>
    <w:p w14:paraId="3B77D0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63CA4C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11AF252E">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00CEC2F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2" w:name="_Toc6711"/>
      <w:bookmarkStart w:id="133" w:name="_Toc7846"/>
      <w:bookmarkStart w:id="134" w:name="_Toc8672"/>
      <w:bookmarkStart w:id="135" w:name="_Toc18475"/>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2"/>
      <w:bookmarkEnd w:id="133"/>
      <w:bookmarkEnd w:id="134"/>
      <w:bookmarkEnd w:id="135"/>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697DBBF">
        <w:tblPrEx>
          <w:tblCellMar>
            <w:top w:w="0" w:type="dxa"/>
            <w:left w:w="108" w:type="dxa"/>
            <w:bottom w:w="0" w:type="dxa"/>
            <w:right w:w="108" w:type="dxa"/>
          </w:tblCellMar>
        </w:tblPrEx>
        <w:trPr>
          <w:trHeight w:val="1094" w:hRule="atLeast"/>
          <w:jc w:val="center"/>
        </w:trPr>
        <w:tc>
          <w:tcPr>
            <w:tcW w:w="4433" w:type="dxa"/>
            <w:noWrap w:val="0"/>
            <w:vAlign w:val="center"/>
          </w:tcPr>
          <w:p w14:paraId="075994F6">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615C5BD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01D682F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0541B4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B3CCFD1">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2403E17">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1F394A1C">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111CBB7A">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3B691EE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7BC0D228">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069AA425">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27EBB10">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1A3F0E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C52B2C1">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58493C4">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EF258E7">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A1F104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69986E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01BC3E14">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49ABB38">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8BD60AD">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18CC6F8">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B1C5EA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936F79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07165C0">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03D83BF7">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1AA3E43">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462ED111">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2484E2D1">
      <w:pPr>
        <w:tabs>
          <w:tab w:val="left" w:pos="1575"/>
        </w:tabs>
        <w:spacing w:line="36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2B3F25A9">
      <w:pPr>
        <w:adjustRightInd w:val="0"/>
        <w:snapToGrid w:val="0"/>
        <w:spacing w:line="600" w:lineRule="exact"/>
        <w:jc w:val="center"/>
        <w:outlineLvl w:val="1"/>
        <w:rPr>
          <w:rFonts w:hint="default" w:ascii="Times New Roman" w:hAnsi="Times New Roman" w:eastAsia="方正小标宋简体" w:cs="Times New Roman"/>
          <w:color w:val="auto"/>
          <w:sz w:val="32"/>
          <w:szCs w:val="32"/>
          <w:highlight w:val="none"/>
        </w:rPr>
      </w:pPr>
      <w:bookmarkStart w:id="136" w:name="_Toc22252"/>
      <w:bookmarkStart w:id="137" w:name="_Toc7018"/>
      <w:bookmarkStart w:id="138" w:name="_Toc25476"/>
      <w:r>
        <w:rPr>
          <w:rFonts w:hint="default" w:ascii="Times New Roman" w:hAnsi="Times New Roman" w:eastAsia="方正小标宋简体" w:cs="Times New Roman"/>
          <w:color w:val="auto"/>
          <w:sz w:val="32"/>
          <w:szCs w:val="32"/>
          <w:highlight w:val="none"/>
        </w:rPr>
        <w:t>安全</w:t>
      </w:r>
      <w:r>
        <w:rPr>
          <w:rFonts w:hint="default" w:ascii="Times New Roman" w:hAnsi="Times New Roman" w:eastAsia="方正小标宋简体" w:cs="Times New Roman"/>
          <w:color w:val="auto"/>
          <w:sz w:val="32"/>
          <w:szCs w:val="32"/>
          <w:highlight w:val="none"/>
          <w:lang w:val="en-US" w:eastAsia="zh-CN"/>
        </w:rPr>
        <w:t>协议</w:t>
      </w:r>
      <w:r>
        <w:rPr>
          <w:rFonts w:hint="default" w:ascii="Times New Roman" w:hAnsi="Times New Roman" w:eastAsia="方正小标宋简体" w:cs="Times New Roman"/>
          <w:color w:val="auto"/>
          <w:sz w:val="32"/>
          <w:szCs w:val="32"/>
          <w:highlight w:val="none"/>
        </w:rPr>
        <w:t>书</w:t>
      </w:r>
      <w:bookmarkEnd w:id="136"/>
      <w:bookmarkEnd w:id="137"/>
      <w:bookmarkEnd w:id="138"/>
    </w:p>
    <w:p w14:paraId="3A2C59AC">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47D629F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甲方：</w:t>
      </w:r>
      <w:r>
        <w:rPr>
          <w:rFonts w:hint="default" w:ascii="Times New Roman" w:hAnsi="Times New Roman" w:eastAsia="仿宋" w:cs="Times New Roman"/>
          <w:bCs/>
          <w:color w:val="auto"/>
          <w:sz w:val="28"/>
          <w:szCs w:val="28"/>
          <w:highlight w:val="none"/>
          <w:u w:val="single"/>
          <w:lang w:val="en-US" w:eastAsia="zh-CN"/>
        </w:rPr>
        <w:t>安徽交控东流新材料有限公司</w:t>
      </w:r>
    </w:p>
    <w:p w14:paraId="3F0A26B8">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u w:val="single"/>
          <w:lang w:val="en-US"/>
        </w:rPr>
      </w:pP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bCs/>
          <w:color w:val="auto"/>
          <w:sz w:val="28"/>
          <w:szCs w:val="28"/>
          <w:highlight w:val="none"/>
          <w:u w:val="single"/>
          <w:lang w:val="en-US" w:eastAsia="zh-CN"/>
        </w:rPr>
        <w:t xml:space="preserve">                          </w:t>
      </w:r>
    </w:p>
    <w:p w14:paraId="6966461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p>
    <w:p w14:paraId="44F609B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为了全面履行甲、乙双方签订的《</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购</w:t>
      </w:r>
      <w:r>
        <w:rPr>
          <w:rFonts w:hint="default" w:ascii="Times New Roman" w:hAnsi="Times New Roman" w:eastAsia="仿宋" w:cs="Times New Roman"/>
          <w:color w:val="auto"/>
          <w:sz w:val="28"/>
          <w:szCs w:val="28"/>
          <w:highlight w:val="none"/>
        </w:rPr>
        <w:t>销合同》（合同编号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bCs/>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）（以下简称为“主合同”），进一步明确在运输过程中甲、乙双方各自的责任，加强监督管理力度，保护作业人员的人身安全和身体健康，共同维护各方利益，签订本协议。</w:t>
      </w:r>
    </w:p>
    <w:p w14:paraId="08A8CD48">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39" w:name="_Toc23146"/>
      <w:bookmarkStart w:id="140" w:name="_Toc296"/>
      <w:bookmarkStart w:id="141" w:name="_Toc27371"/>
      <w:r>
        <w:rPr>
          <w:rFonts w:hint="default" w:ascii="Times New Roman" w:hAnsi="Times New Roman" w:eastAsia="黑体" w:cs="Times New Roman"/>
          <w:b w:val="0"/>
          <w:bCs/>
          <w:color w:val="auto"/>
          <w:sz w:val="28"/>
          <w:szCs w:val="28"/>
          <w:highlight w:val="none"/>
          <w:lang w:val="zh-TW" w:eastAsia="zh-CN"/>
        </w:rPr>
        <w:t>第一条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甲、乙双方共同责任</w:t>
      </w:r>
      <w:bookmarkEnd w:id="139"/>
      <w:bookmarkEnd w:id="140"/>
      <w:bookmarkEnd w:id="141"/>
    </w:p>
    <w:p w14:paraId="2CC93B5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bidi="zh-TW"/>
        </w:rPr>
      </w:pPr>
      <w:r>
        <w:rPr>
          <w:rFonts w:hint="default" w:ascii="Times New Roman" w:hAnsi="Times New Roman" w:eastAsia="仿宋" w:cs="Times New Roman"/>
          <w:color w:val="auto"/>
          <w:sz w:val="28"/>
          <w:szCs w:val="28"/>
          <w:highlight w:val="none"/>
          <w:lang w:val="zh-TW" w:bidi="zh-TW"/>
        </w:rPr>
        <w:t>1.共同遵守国家和地方有关安全生产的法律、法规和规定。</w:t>
      </w:r>
    </w:p>
    <w:p w14:paraId="188C85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zh-TW" w:bidi="zh-TW"/>
        </w:rPr>
        <w:t>2.</w:t>
      </w:r>
      <w:r>
        <w:rPr>
          <w:rFonts w:hint="default" w:ascii="Times New Roman" w:hAnsi="Times New Roman" w:eastAsia="仿宋" w:cs="Times New Roman"/>
          <w:color w:val="auto"/>
          <w:sz w:val="28"/>
          <w:szCs w:val="28"/>
          <w:highlight w:val="none"/>
        </w:rPr>
        <w:t>抓好安全教育</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严肃安全纪律</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规范安全行为</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净化作业环境。</w:t>
      </w:r>
    </w:p>
    <w:p w14:paraId="32283E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2" w:name="_Toc9974"/>
      <w:bookmarkStart w:id="143" w:name="_Toc30077"/>
      <w:bookmarkStart w:id="144" w:name="_Toc15370"/>
      <w:r>
        <w:rPr>
          <w:rFonts w:hint="default" w:ascii="Times New Roman" w:hAnsi="Times New Roman" w:eastAsia="黑体" w:cs="Times New Roman"/>
          <w:b w:val="0"/>
          <w:bCs/>
          <w:color w:val="auto"/>
          <w:sz w:val="28"/>
          <w:szCs w:val="28"/>
          <w:highlight w:val="none"/>
          <w:lang w:val="zh-TW" w:eastAsia="zh-CN"/>
        </w:rPr>
        <w:t>第二条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甲方的具体责任</w:t>
      </w:r>
      <w:bookmarkEnd w:id="142"/>
      <w:bookmarkEnd w:id="143"/>
      <w:bookmarkEnd w:id="144"/>
    </w:p>
    <w:p w14:paraId="35559DC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直至清场，取消备案</w:t>
      </w:r>
      <w:r>
        <w:rPr>
          <w:rFonts w:hint="default" w:ascii="Times New Roman" w:hAnsi="Times New Roman" w:eastAsia="仿宋" w:cs="Times New Roman"/>
          <w:color w:val="auto"/>
          <w:sz w:val="28"/>
          <w:szCs w:val="28"/>
          <w:highlight w:val="none"/>
          <w:lang w:val="zh-TW"/>
        </w:rPr>
        <w:t>。</w:t>
      </w:r>
    </w:p>
    <w:p w14:paraId="394805E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有权</w:t>
      </w:r>
      <w:r>
        <w:rPr>
          <w:rFonts w:hint="default" w:ascii="Times New Roman" w:hAnsi="Times New Roman" w:eastAsia="仿宋" w:cs="Times New Roman"/>
          <w:color w:val="auto"/>
          <w:sz w:val="28"/>
          <w:szCs w:val="28"/>
          <w:highlight w:val="none"/>
          <w:lang w:val="zh-TW"/>
        </w:rPr>
        <w:t>对乙方</w:t>
      </w:r>
      <w:r>
        <w:rPr>
          <w:rFonts w:hint="default" w:ascii="Times New Roman" w:hAnsi="Times New Roman" w:eastAsia="仿宋" w:cs="Times New Roman"/>
          <w:color w:val="auto"/>
          <w:sz w:val="28"/>
          <w:szCs w:val="28"/>
          <w:highlight w:val="none"/>
        </w:rPr>
        <w:t>车辆、安全防护用品等合格证明进行检查，检查符合后方可进行装车。</w:t>
      </w:r>
    </w:p>
    <w:p w14:paraId="2130DB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lang w:val="zh-TW"/>
        </w:rPr>
        <w:t>.发生伤亡事故按规定报告有关部门。</w:t>
      </w:r>
    </w:p>
    <w:p w14:paraId="669FF74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rPr>
        <w:t>负责在指定交货地点将合格的</w:t>
      </w:r>
      <w:r>
        <w:rPr>
          <w:rFonts w:hint="default" w:ascii="Times New Roman" w:hAnsi="Times New Roman" w:eastAsia="仿宋" w:cs="Times New Roman"/>
          <w:color w:val="auto"/>
          <w:sz w:val="28"/>
          <w:szCs w:val="28"/>
          <w:highlight w:val="none"/>
          <w:lang w:val="en-US" w:eastAsia="zh-CN"/>
        </w:rPr>
        <w:t>产品</w:t>
      </w:r>
      <w:r>
        <w:rPr>
          <w:rFonts w:hint="default" w:ascii="Times New Roman" w:hAnsi="Times New Roman" w:eastAsia="仿宋" w:cs="Times New Roman"/>
          <w:color w:val="auto"/>
          <w:sz w:val="28"/>
          <w:szCs w:val="28"/>
          <w:highlight w:val="none"/>
        </w:rPr>
        <w:t>装至乙方</w:t>
      </w:r>
      <w:r>
        <w:rPr>
          <w:rFonts w:hint="default" w:ascii="Times New Roman" w:hAnsi="Times New Roman" w:eastAsia="仿宋" w:cs="Times New Roman"/>
          <w:color w:val="auto"/>
          <w:sz w:val="28"/>
          <w:szCs w:val="28"/>
          <w:highlight w:val="none"/>
          <w:lang w:val="en-US" w:eastAsia="zh-CN"/>
        </w:rPr>
        <w:t>或乙方委托</w:t>
      </w:r>
      <w:r>
        <w:rPr>
          <w:rFonts w:hint="default" w:ascii="Times New Roman" w:hAnsi="Times New Roman" w:eastAsia="仿宋" w:cs="Times New Roman"/>
          <w:color w:val="auto"/>
          <w:sz w:val="28"/>
          <w:szCs w:val="28"/>
          <w:highlight w:val="none"/>
        </w:rPr>
        <w:t>运输车辆车厢内，乙方运输过程中的安全、质量风险与甲方无关。</w:t>
      </w:r>
    </w:p>
    <w:p w14:paraId="22A96D7C">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5" w:name="_Toc7923"/>
      <w:bookmarkStart w:id="146" w:name="_Toc15060"/>
      <w:bookmarkStart w:id="147" w:name="_Toc16271"/>
      <w:r>
        <w:rPr>
          <w:rFonts w:hint="default" w:ascii="Times New Roman" w:hAnsi="Times New Roman" w:eastAsia="黑体" w:cs="Times New Roman"/>
          <w:b w:val="0"/>
          <w:bCs/>
          <w:color w:val="auto"/>
          <w:sz w:val="28"/>
          <w:szCs w:val="28"/>
          <w:highlight w:val="none"/>
          <w:lang w:val="zh-TW" w:eastAsia="zh-CN"/>
        </w:rPr>
        <w:t>第三条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乙方的具体责任</w:t>
      </w:r>
      <w:bookmarkEnd w:id="145"/>
      <w:bookmarkEnd w:id="146"/>
      <w:bookmarkEnd w:id="147"/>
    </w:p>
    <w:p w14:paraId="0821129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服从甲方现场安全生产领导机构的正确领导</w:t>
      </w:r>
      <w:r>
        <w:rPr>
          <w:rFonts w:hint="default" w:ascii="Times New Roman" w:hAnsi="Times New Roman" w:eastAsia="仿宋" w:cs="Times New Roman"/>
          <w:color w:val="auto"/>
          <w:sz w:val="28"/>
          <w:szCs w:val="28"/>
          <w:highlight w:val="none"/>
          <w:lang w:val="en-US" w:eastAsia="zh-CN"/>
        </w:rPr>
        <w:t>和监督</w:t>
      </w:r>
      <w:r>
        <w:rPr>
          <w:rFonts w:hint="default" w:ascii="Times New Roman" w:hAnsi="Times New Roman" w:eastAsia="仿宋" w:cs="Times New Roman"/>
          <w:color w:val="auto"/>
          <w:sz w:val="28"/>
          <w:szCs w:val="28"/>
          <w:highlight w:val="none"/>
          <w:lang w:val="zh-TW"/>
        </w:rPr>
        <w:t>，遵守甲方</w:t>
      </w:r>
      <w:r>
        <w:rPr>
          <w:rFonts w:hint="default" w:ascii="Times New Roman" w:hAnsi="Times New Roman" w:eastAsia="仿宋" w:cs="Times New Roman"/>
          <w:color w:val="auto"/>
          <w:sz w:val="28"/>
          <w:szCs w:val="28"/>
          <w:highlight w:val="none"/>
          <w:lang w:val="en-US" w:eastAsia="zh-CN"/>
        </w:rPr>
        <w:t>制定</w:t>
      </w:r>
      <w:r>
        <w:rPr>
          <w:rFonts w:hint="default" w:ascii="Times New Roman" w:hAnsi="Times New Roman" w:eastAsia="仿宋" w:cs="Times New Roman"/>
          <w:color w:val="auto"/>
          <w:sz w:val="28"/>
          <w:szCs w:val="28"/>
          <w:highlight w:val="none"/>
          <w:lang w:val="zh-TW"/>
        </w:rPr>
        <w:t>的安全管理制度</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服从甲方现场指挥统一调度，按时有序进行装车和过磅。</w:t>
      </w:r>
    </w:p>
    <w:p w14:paraId="1C4F986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装运产品</w:t>
      </w:r>
      <w:r>
        <w:rPr>
          <w:rFonts w:hint="default" w:ascii="Times New Roman" w:hAnsi="Times New Roman" w:eastAsia="仿宋" w:cs="Times New Roman"/>
          <w:color w:val="auto"/>
          <w:sz w:val="28"/>
          <w:szCs w:val="28"/>
          <w:highlight w:val="none"/>
          <w:lang w:val="zh-TW" w:eastAsia="zh-CN"/>
        </w:rPr>
        <w:t>前</w:t>
      </w:r>
      <w:r>
        <w:rPr>
          <w:rFonts w:hint="default" w:ascii="Times New Roman" w:hAnsi="Times New Roman" w:eastAsia="仿宋" w:cs="Times New Roman"/>
          <w:color w:val="auto"/>
          <w:sz w:val="28"/>
          <w:szCs w:val="28"/>
          <w:highlight w:val="none"/>
          <w:lang w:val="en-US" w:eastAsia="zh-CN"/>
        </w:rPr>
        <w:t>须</w:t>
      </w:r>
      <w:r>
        <w:rPr>
          <w:rFonts w:hint="default" w:ascii="Times New Roman" w:hAnsi="Times New Roman" w:eastAsia="仿宋" w:cs="Times New Roman"/>
          <w:color w:val="auto"/>
          <w:sz w:val="28"/>
          <w:szCs w:val="28"/>
          <w:highlight w:val="none"/>
          <w:lang w:val="zh-TW" w:eastAsia="zh-CN"/>
        </w:rPr>
        <w:t>在甲方处完成车辆备案工作，提交合法运营资料。</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若新增承运车辆，须</w:t>
      </w:r>
      <w:r>
        <w:rPr>
          <w:rFonts w:hint="default" w:ascii="Times New Roman" w:hAnsi="Times New Roman" w:eastAsia="仿宋" w:cs="Times New Roman"/>
          <w:color w:val="auto"/>
          <w:sz w:val="28"/>
          <w:szCs w:val="28"/>
          <w:highlight w:val="none"/>
          <w:lang w:val="en-US" w:eastAsia="zh-CN"/>
        </w:rPr>
        <w:t>先</w:t>
      </w:r>
      <w:r>
        <w:rPr>
          <w:rFonts w:hint="default" w:ascii="Times New Roman" w:hAnsi="Times New Roman" w:eastAsia="仿宋" w:cs="Times New Roman"/>
          <w:color w:val="auto"/>
          <w:sz w:val="28"/>
          <w:szCs w:val="28"/>
          <w:highlight w:val="none"/>
          <w:lang w:val="zh-TW"/>
        </w:rPr>
        <w:t>向甲方申请备案，甲方批准后方可开始运输。</w:t>
      </w:r>
    </w:p>
    <w:p w14:paraId="5DE353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zh-TW"/>
        </w:rPr>
        <w:t>保证运输车辆车况良好、证照齐全</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乙方车辆</w:t>
      </w:r>
      <w:r>
        <w:rPr>
          <w:rFonts w:hint="default" w:ascii="Times New Roman" w:hAnsi="Times New Roman" w:eastAsia="仿宋" w:cs="Times New Roman"/>
          <w:color w:val="auto"/>
          <w:sz w:val="28"/>
          <w:szCs w:val="28"/>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rPr>
        <w:t>随意更改路线。</w:t>
      </w:r>
    </w:p>
    <w:p w14:paraId="1BF554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eastAsia="zh-CN"/>
        </w:rPr>
        <w:t>.车辆进场后需慢行，</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超速；现场装料时严格遵守现场指挥人员指挥，</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随意倒车与掉头拐弯。</w:t>
      </w:r>
    </w:p>
    <w:p w14:paraId="6B84433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val="zh-TW"/>
        </w:rPr>
        <w:t>.现场配备安全负责人</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为</w:t>
      </w:r>
      <w:r>
        <w:rPr>
          <w:rFonts w:hint="default" w:ascii="Times New Roman" w:hAnsi="Times New Roman" w:eastAsia="仿宋" w:cs="Times New Roman"/>
          <w:color w:val="auto"/>
          <w:sz w:val="28"/>
          <w:szCs w:val="28"/>
          <w:highlight w:val="none"/>
          <w:lang w:val="zh-TW"/>
        </w:rPr>
        <w:t>车辆、人员</w:t>
      </w:r>
      <w:r>
        <w:rPr>
          <w:rFonts w:hint="default" w:ascii="Times New Roman" w:hAnsi="Times New Roman" w:eastAsia="仿宋" w:cs="Times New Roman"/>
          <w:color w:val="auto"/>
          <w:sz w:val="28"/>
          <w:szCs w:val="28"/>
          <w:highlight w:val="none"/>
          <w:lang w:val="en-US" w:eastAsia="zh-CN"/>
        </w:rPr>
        <w:t>配备</w:t>
      </w:r>
      <w:r>
        <w:rPr>
          <w:rFonts w:hint="default" w:ascii="Times New Roman" w:hAnsi="Times New Roman" w:eastAsia="仿宋" w:cs="Times New Roman"/>
          <w:color w:val="auto"/>
          <w:sz w:val="28"/>
          <w:szCs w:val="28"/>
          <w:highlight w:val="none"/>
          <w:lang w:val="zh-TW"/>
        </w:rPr>
        <w:t>齐全、有效防护设备</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车辆进场后驾驶员不得随意下车，若有特殊情况</w:t>
      </w:r>
      <w:r>
        <w:rPr>
          <w:rFonts w:hint="default" w:ascii="Times New Roman" w:hAnsi="Times New Roman" w:eastAsia="仿宋" w:cs="Times New Roman"/>
          <w:color w:val="auto"/>
          <w:sz w:val="28"/>
          <w:szCs w:val="28"/>
          <w:highlight w:val="none"/>
          <w:lang w:val="en-US" w:eastAsia="zh-CN"/>
        </w:rPr>
        <w:t>下车</w:t>
      </w:r>
      <w:r>
        <w:rPr>
          <w:rFonts w:hint="default" w:ascii="Times New Roman" w:hAnsi="Times New Roman" w:eastAsia="仿宋" w:cs="Times New Roman"/>
          <w:color w:val="auto"/>
          <w:sz w:val="28"/>
          <w:szCs w:val="28"/>
          <w:highlight w:val="none"/>
          <w:lang w:val="zh-TW"/>
        </w:rPr>
        <w:t>须戴好</w:t>
      </w:r>
      <w:r>
        <w:rPr>
          <w:rFonts w:hint="default" w:ascii="Times New Roman" w:hAnsi="Times New Roman" w:eastAsia="仿宋" w:cs="Times New Roman"/>
          <w:color w:val="auto"/>
          <w:sz w:val="28"/>
          <w:szCs w:val="28"/>
          <w:highlight w:val="none"/>
          <w:lang w:val="en-US" w:eastAsia="zh-CN"/>
        </w:rPr>
        <w:t>防护设备用品</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同时应</w:t>
      </w:r>
      <w:r>
        <w:rPr>
          <w:rFonts w:hint="default" w:ascii="Times New Roman" w:hAnsi="Times New Roman" w:eastAsia="仿宋" w:cs="Times New Roman"/>
          <w:color w:val="auto"/>
          <w:sz w:val="28"/>
          <w:szCs w:val="28"/>
          <w:highlight w:val="none"/>
          <w:lang w:val="zh-TW"/>
        </w:rPr>
        <w:t>保护矿区内设备设施，</w:t>
      </w:r>
      <w:r>
        <w:rPr>
          <w:rFonts w:hint="default" w:ascii="Times New Roman" w:hAnsi="Times New Roman" w:eastAsia="仿宋" w:cs="Times New Roman"/>
          <w:color w:val="auto"/>
          <w:sz w:val="28"/>
          <w:szCs w:val="28"/>
          <w:highlight w:val="none"/>
          <w:lang w:val="en-US" w:eastAsia="zh-CN"/>
        </w:rPr>
        <w:t>严禁随意</w:t>
      </w:r>
      <w:r>
        <w:rPr>
          <w:rFonts w:hint="default" w:ascii="Times New Roman" w:hAnsi="Times New Roman" w:eastAsia="仿宋" w:cs="Times New Roman"/>
          <w:color w:val="auto"/>
          <w:sz w:val="28"/>
          <w:szCs w:val="28"/>
          <w:highlight w:val="none"/>
          <w:lang w:val="zh-TW"/>
        </w:rPr>
        <w:t>损坏。</w:t>
      </w:r>
    </w:p>
    <w:p w14:paraId="49FF94E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.乙方车辆须在指定区域平整货物、覆盖专业雨布，未覆盖雨布车辆严禁出场。</w:t>
      </w:r>
    </w:p>
    <w:p w14:paraId="2A30D8C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严禁车辆</w:t>
      </w:r>
      <w:r>
        <w:rPr>
          <w:rFonts w:hint="default" w:ascii="Times New Roman" w:hAnsi="Times New Roman" w:eastAsia="仿宋" w:cs="Times New Roman"/>
          <w:color w:val="auto"/>
          <w:sz w:val="28"/>
          <w:szCs w:val="28"/>
          <w:highlight w:val="none"/>
          <w:lang w:val="zh-TW"/>
        </w:rPr>
        <w:t>超载，超载车辆</w:t>
      </w:r>
      <w:r>
        <w:rPr>
          <w:rFonts w:hint="default" w:ascii="Times New Roman" w:hAnsi="Times New Roman" w:eastAsia="仿宋" w:cs="Times New Roman"/>
          <w:color w:val="auto"/>
          <w:sz w:val="28"/>
          <w:szCs w:val="28"/>
          <w:highlight w:val="none"/>
          <w:lang w:val="en-US" w:eastAsia="zh-CN"/>
        </w:rPr>
        <w:t>出现任何责任由乙方承担</w:t>
      </w:r>
      <w:r>
        <w:rPr>
          <w:rFonts w:hint="default" w:ascii="Times New Roman" w:hAnsi="Times New Roman" w:eastAsia="仿宋" w:cs="Times New Roman"/>
          <w:color w:val="auto"/>
          <w:sz w:val="28"/>
          <w:szCs w:val="28"/>
          <w:highlight w:val="none"/>
          <w:lang w:val="zh-TW"/>
        </w:rPr>
        <w:t>。</w:t>
      </w:r>
    </w:p>
    <w:p w14:paraId="57DCFBE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28"/>
          <w:szCs w:val="28"/>
          <w:highlight w:val="none"/>
          <w:lang w:val="zh-TW" w:eastAsia="zh-CN"/>
        </w:rPr>
        <w:t>。</w:t>
      </w:r>
    </w:p>
    <w:p w14:paraId="0D4875A6">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8" w:name="_Toc1341"/>
      <w:bookmarkStart w:id="149" w:name="_Toc29656"/>
      <w:bookmarkStart w:id="150" w:name="_Toc20856"/>
      <w:r>
        <w:rPr>
          <w:rFonts w:hint="default" w:ascii="Times New Roman" w:hAnsi="Times New Roman" w:eastAsia="黑体" w:cs="Times New Roman"/>
          <w:b w:val="0"/>
          <w:bCs/>
          <w:color w:val="auto"/>
          <w:sz w:val="28"/>
          <w:szCs w:val="28"/>
          <w:highlight w:val="none"/>
          <w:lang w:val="zh-TW" w:eastAsia="zh-CN"/>
        </w:rPr>
        <w:t>第四条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违约</w:t>
      </w:r>
      <w:bookmarkEnd w:id="148"/>
      <w:bookmarkEnd w:id="149"/>
      <w:bookmarkEnd w:id="150"/>
    </w:p>
    <w:p w14:paraId="4CE18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w:t>
      </w:r>
      <w:r>
        <w:rPr>
          <w:rFonts w:hint="default" w:ascii="Times New Roman" w:hAnsi="Times New Roman" w:eastAsia="仿宋" w:cs="Times New Roman"/>
          <w:color w:val="auto"/>
          <w:sz w:val="28"/>
          <w:szCs w:val="28"/>
          <w:highlight w:val="none"/>
          <w:lang w:val="zh-TW" w:eastAsia="zh-TW"/>
        </w:rPr>
        <w:t>.</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达不到约定条件</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，甲方一经发现，可要求乙方立即进行改正和补充完善，乙方应按甲方要求改正和补充完善，直到符合约定条件。</w:t>
      </w:r>
    </w:p>
    <w:p w14:paraId="2D6D4DA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2.若乙方进入甲方场地的人员违反甲方规章制度，</w:t>
      </w:r>
      <w:r>
        <w:rPr>
          <w:rFonts w:hint="default" w:ascii="Times New Roman" w:hAnsi="Times New Roman" w:eastAsia="仿宋" w:cs="Times New Roman"/>
          <w:color w:val="auto"/>
          <w:sz w:val="28"/>
          <w:szCs w:val="28"/>
          <w:highlight w:val="none"/>
          <w:lang w:val="en-US" w:eastAsia="zh-CN"/>
        </w:rPr>
        <w:t>发生</w:t>
      </w:r>
      <w:r>
        <w:rPr>
          <w:rFonts w:hint="default" w:ascii="Times New Roman" w:hAnsi="Times New Roman" w:eastAsia="仿宋" w:cs="Times New Roman"/>
          <w:color w:val="auto"/>
          <w:sz w:val="28"/>
          <w:szCs w:val="28"/>
          <w:highlight w:val="none"/>
          <w:lang w:val="zh-TW"/>
        </w:rPr>
        <w:t>安全责任事故</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承担该事故全部责任</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同时</w:t>
      </w:r>
      <w:r>
        <w:rPr>
          <w:rFonts w:hint="default" w:ascii="Times New Roman" w:hAnsi="Times New Roman" w:eastAsia="仿宋" w:cs="Times New Roman"/>
          <w:color w:val="auto"/>
          <w:sz w:val="28"/>
          <w:szCs w:val="28"/>
          <w:highlight w:val="none"/>
          <w:lang w:val="zh-TW"/>
        </w:rPr>
        <w:t>甲方有权要求乙方支付10万元及以上的违约金。</w:t>
      </w:r>
    </w:p>
    <w:p w14:paraId="59A983A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28"/>
          <w:szCs w:val="28"/>
          <w:highlight w:val="none"/>
          <w:lang w:val="en-US" w:eastAsia="zh-CN"/>
        </w:rPr>
        <w:t>万元</w:t>
      </w:r>
      <w:r>
        <w:rPr>
          <w:rFonts w:hint="default" w:ascii="Times New Roman" w:hAnsi="Times New Roman" w:eastAsia="仿宋" w:cs="Times New Roman"/>
          <w:color w:val="auto"/>
          <w:sz w:val="28"/>
          <w:szCs w:val="28"/>
          <w:highlight w:val="none"/>
          <w:lang w:val="zh-TW"/>
        </w:rPr>
        <w:t>-5万元/次</w:t>
      </w:r>
      <w:r>
        <w:rPr>
          <w:rFonts w:hint="default" w:ascii="Times New Roman" w:hAnsi="Times New Roman" w:eastAsia="仿宋" w:cs="Times New Roman"/>
          <w:color w:val="auto"/>
          <w:sz w:val="28"/>
          <w:szCs w:val="28"/>
          <w:highlight w:val="none"/>
          <w:lang w:val="en-US" w:eastAsia="zh-CN"/>
        </w:rPr>
        <w:t>罚金</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若</w:t>
      </w:r>
      <w:r>
        <w:rPr>
          <w:rFonts w:hint="default" w:ascii="Times New Roman" w:hAnsi="Times New Roman" w:eastAsia="仿宋" w:cs="Times New Roman"/>
          <w:color w:val="auto"/>
          <w:sz w:val="28"/>
          <w:szCs w:val="28"/>
          <w:highlight w:val="none"/>
          <w:lang w:val="en-US" w:eastAsia="zh-CN"/>
        </w:rPr>
        <w:t>乙方发生</w:t>
      </w:r>
      <w:r>
        <w:rPr>
          <w:rFonts w:hint="default" w:ascii="Times New Roman" w:hAnsi="Times New Roman" w:eastAsia="仿宋" w:cs="Times New Roman"/>
          <w:color w:val="auto"/>
          <w:sz w:val="28"/>
          <w:szCs w:val="28"/>
          <w:highlight w:val="none"/>
          <w:lang w:val="zh-TW"/>
        </w:rPr>
        <w:t>纠纷出现硬件损坏或人员伤亡</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按市值给予赔偿，并承担相应法律责任。</w:t>
      </w:r>
    </w:p>
    <w:p w14:paraId="723F395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w:t>
      </w:r>
      <w:r>
        <w:rPr>
          <w:rFonts w:hint="default" w:ascii="Times New Roman" w:hAnsi="Times New Roman" w:eastAsia="仿宋" w:cs="Times New Roman"/>
          <w:color w:val="auto"/>
          <w:sz w:val="28"/>
          <w:szCs w:val="28"/>
          <w:highlight w:val="none"/>
          <w:lang w:val="en-US" w:eastAsia="zh-CN"/>
        </w:rPr>
        <w:t>装运车辆</w:t>
      </w:r>
      <w:r>
        <w:rPr>
          <w:rFonts w:hint="default" w:ascii="Times New Roman" w:hAnsi="Times New Roman" w:eastAsia="仿宋" w:cs="Times New Roman"/>
          <w:color w:val="auto"/>
          <w:sz w:val="28"/>
          <w:szCs w:val="28"/>
          <w:highlight w:val="none"/>
          <w:lang w:val="zh-TW"/>
        </w:rPr>
        <w:t>驾驶员未按照甲方安全管理要求出现以下行为的，按照500</w:t>
      </w:r>
      <w:r>
        <w:rPr>
          <w:rFonts w:hint="default" w:ascii="Times New Roman" w:hAnsi="Times New Roman" w:eastAsia="仿宋" w:cs="Times New Roman"/>
          <w:color w:val="auto"/>
          <w:sz w:val="28"/>
          <w:szCs w:val="28"/>
          <w:highlight w:val="none"/>
          <w:lang w:val="en-US" w:eastAsia="zh-CN"/>
        </w:rPr>
        <w:t>0</w:t>
      </w:r>
      <w:r>
        <w:rPr>
          <w:rFonts w:hint="default" w:ascii="Times New Roman" w:hAnsi="Times New Roman" w:eastAsia="仿宋" w:cs="Times New Roman"/>
          <w:color w:val="auto"/>
          <w:sz w:val="28"/>
          <w:szCs w:val="28"/>
          <w:highlight w:val="none"/>
          <w:lang w:val="zh-TW"/>
        </w:rPr>
        <w:t>元/次处罚，车辆驾驶员如发现2次以上违章行为的，禁止进矿拉运。</w:t>
      </w:r>
    </w:p>
    <w:p w14:paraId="74E0C8C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（1）在矿区道路及矿内出现车速过快、插队、未按规定路线行驶的；</w:t>
      </w:r>
    </w:p>
    <w:p w14:paraId="4CB90A0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（2）矿区内</w:t>
      </w:r>
      <w:r>
        <w:rPr>
          <w:rFonts w:hint="default" w:ascii="Times New Roman" w:hAnsi="Times New Roman" w:eastAsia="仿宋" w:cs="Times New Roman"/>
          <w:color w:val="auto"/>
          <w:sz w:val="28"/>
          <w:szCs w:val="28"/>
          <w:highlight w:val="none"/>
          <w:lang w:val="en-US" w:eastAsia="zh-CN"/>
        </w:rPr>
        <w:t>下车未佩戴安全防护装备</w:t>
      </w:r>
      <w:r>
        <w:rPr>
          <w:rFonts w:hint="default" w:ascii="Times New Roman" w:hAnsi="Times New Roman" w:eastAsia="仿宋" w:cs="Times New Roman"/>
          <w:color w:val="auto"/>
          <w:sz w:val="28"/>
          <w:szCs w:val="28"/>
          <w:highlight w:val="none"/>
          <w:lang w:val="zh-TW"/>
        </w:rPr>
        <w:t>、不听交通指挥、擅自掉头的；</w:t>
      </w:r>
    </w:p>
    <w:p w14:paraId="64D4EE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（3）未经</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安全教育交底、私闯矿区门禁的；</w:t>
      </w:r>
    </w:p>
    <w:p w14:paraId="3A35C61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（4）未按照规定覆盖车辆、洗车池未</w:t>
      </w:r>
      <w:r>
        <w:rPr>
          <w:rFonts w:hint="default" w:ascii="Times New Roman" w:hAnsi="Times New Roman" w:eastAsia="仿宋" w:cs="Times New Roman"/>
          <w:color w:val="auto"/>
          <w:sz w:val="28"/>
          <w:szCs w:val="28"/>
          <w:highlight w:val="none"/>
          <w:lang w:val="en-US" w:eastAsia="zh-CN"/>
        </w:rPr>
        <w:t>清</w:t>
      </w:r>
      <w:r>
        <w:rPr>
          <w:rFonts w:hint="default" w:ascii="Times New Roman" w:hAnsi="Times New Roman" w:eastAsia="仿宋" w:cs="Times New Roman"/>
          <w:color w:val="auto"/>
          <w:sz w:val="28"/>
          <w:szCs w:val="28"/>
          <w:highlight w:val="none"/>
          <w:lang w:val="zh-TW"/>
        </w:rPr>
        <w:t>洗轮胎</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w:t>
      </w:r>
    </w:p>
    <w:p w14:paraId="7FAE7AF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zh-TW"/>
        </w:rPr>
        <w:t>（5）</w:t>
      </w:r>
      <w:r>
        <w:rPr>
          <w:rFonts w:hint="default" w:ascii="Times New Roman" w:hAnsi="Times New Roman" w:eastAsia="仿宋" w:cs="Times New Roman"/>
          <w:color w:val="auto"/>
          <w:sz w:val="28"/>
          <w:szCs w:val="28"/>
          <w:highlight w:val="none"/>
          <w:lang w:val="en-US" w:eastAsia="zh-CN"/>
        </w:rPr>
        <w:t>冲撞甲方工作人员的；</w:t>
      </w:r>
    </w:p>
    <w:p w14:paraId="0E2470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出现其他如</w:t>
      </w:r>
      <w:r>
        <w:rPr>
          <w:rFonts w:hint="default" w:ascii="Times New Roman" w:hAnsi="Times New Roman" w:eastAsia="仿宋" w:cs="Times New Roman"/>
          <w:color w:val="auto"/>
          <w:sz w:val="28"/>
          <w:szCs w:val="28"/>
          <w:highlight w:val="none"/>
          <w:lang w:val="en-US" w:eastAsia="zh-CN"/>
        </w:rPr>
        <w:t>醉酒、</w:t>
      </w:r>
      <w:r>
        <w:rPr>
          <w:rFonts w:hint="default" w:ascii="Times New Roman" w:hAnsi="Times New Roman" w:eastAsia="仿宋" w:cs="Times New Roman"/>
          <w:color w:val="auto"/>
          <w:sz w:val="28"/>
          <w:szCs w:val="28"/>
          <w:highlight w:val="none"/>
          <w:lang w:val="zh-TW"/>
        </w:rPr>
        <w:t>打架、冲突等恶劣行为的。</w:t>
      </w:r>
    </w:p>
    <w:p w14:paraId="612773F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1" w:name="_Toc12419"/>
      <w:bookmarkStart w:id="152" w:name="_Toc15099"/>
      <w:bookmarkStart w:id="153" w:name="_Toc10036"/>
      <w:r>
        <w:rPr>
          <w:rFonts w:hint="default" w:ascii="Times New Roman" w:hAnsi="Times New Roman" w:eastAsia="黑体" w:cs="Times New Roman"/>
          <w:b w:val="0"/>
          <w:bCs/>
          <w:color w:val="auto"/>
          <w:sz w:val="28"/>
          <w:szCs w:val="28"/>
          <w:highlight w:val="none"/>
          <w:lang w:val="zh-TW" w:eastAsia="zh-CN"/>
        </w:rPr>
        <w:t>第五条：争议</w:t>
      </w:r>
      <w:bookmarkEnd w:id="151"/>
      <w:bookmarkEnd w:id="152"/>
      <w:bookmarkEnd w:id="153"/>
    </w:p>
    <w:p w14:paraId="29D5CD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本协议未尽事宜，双方协商解决；协商不成时，向</w:t>
      </w: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val="zh-TW"/>
        </w:rPr>
        <w:t>所在地人民法院提起诉讼。</w:t>
      </w:r>
    </w:p>
    <w:p w14:paraId="731B69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4" w:name="_Toc17398"/>
      <w:bookmarkStart w:id="155" w:name="_Toc26034"/>
      <w:bookmarkStart w:id="156" w:name="_Toc6161"/>
      <w:r>
        <w:rPr>
          <w:rFonts w:hint="default" w:ascii="Times New Roman" w:hAnsi="Times New Roman" w:eastAsia="黑体" w:cs="Times New Roman"/>
          <w:b w:val="0"/>
          <w:bCs/>
          <w:color w:val="auto"/>
          <w:sz w:val="28"/>
          <w:szCs w:val="28"/>
          <w:highlight w:val="none"/>
          <w:lang w:val="zh-TW" w:eastAsia="zh-CN"/>
        </w:rPr>
        <w:t>第六条：其他</w:t>
      </w:r>
      <w:bookmarkEnd w:id="154"/>
      <w:bookmarkEnd w:id="155"/>
      <w:bookmarkEnd w:id="156"/>
    </w:p>
    <w:p w14:paraId="22852BB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zh-TW"/>
        </w:rPr>
        <w:t>本合同一式</w:t>
      </w:r>
      <w:r>
        <w:rPr>
          <w:rFonts w:hint="default" w:ascii="Times New Roman" w:hAnsi="Times New Roman" w:eastAsia="仿宋" w:cs="Times New Roman"/>
          <w:color w:val="auto"/>
          <w:sz w:val="28"/>
          <w:szCs w:val="28"/>
          <w:highlight w:val="none"/>
          <w:lang w:val="en-US" w:eastAsia="zh-CN"/>
        </w:rPr>
        <w:t>陆</w:t>
      </w:r>
      <w:r>
        <w:rPr>
          <w:rFonts w:hint="default" w:ascii="Times New Roman" w:hAnsi="Times New Roman" w:eastAsia="仿宋" w:cs="Times New Roman"/>
          <w:color w:val="auto"/>
          <w:sz w:val="28"/>
          <w:szCs w:val="28"/>
          <w:highlight w:val="none"/>
          <w:lang w:val="zh-TW"/>
        </w:rPr>
        <w:t>份，甲</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乙双方各执</w:t>
      </w:r>
      <w:r>
        <w:rPr>
          <w:rFonts w:hint="default" w:ascii="Times New Roman" w:hAnsi="Times New Roman" w:eastAsia="仿宋" w:cs="Times New Roman"/>
          <w:color w:val="auto"/>
          <w:sz w:val="28"/>
          <w:szCs w:val="28"/>
          <w:highlight w:val="none"/>
          <w:lang w:val="en-US" w:eastAsia="zh-CN"/>
        </w:rPr>
        <w:t>叁</w:t>
      </w:r>
      <w:r>
        <w:rPr>
          <w:rFonts w:hint="default" w:ascii="Times New Roman" w:hAnsi="Times New Roman" w:eastAsia="仿宋" w:cs="Times New Roman"/>
          <w:color w:val="auto"/>
          <w:sz w:val="28"/>
          <w:szCs w:val="28"/>
          <w:highlight w:val="none"/>
          <w:lang w:val="zh-TW"/>
        </w:rPr>
        <w:t>份，具有同等</w:t>
      </w:r>
      <w:r>
        <w:rPr>
          <w:rFonts w:hint="default" w:ascii="Times New Roman" w:hAnsi="Times New Roman" w:eastAsia="仿宋" w:cs="Times New Roman"/>
          <w:color w:val="auto"/>
          <w:sz w:val="28"/>
          <w:szCs w:val="28"/>
          <w:highlight w:val="none"/>
          <w:lang w:val="en-US" w:eastAsia="zh-CN"/>
        </w:rPr>
        <w:t>法律</w:t>
      </w:r>
      <w:r>
        <w:rPr>
          <w:rFonts w:hint="default" w:ascii="Times New Roman" w:hAnsi="Times New Roman" w:eastAsia="仿宋" w:cs="Times New Roman"/>
          <w:color w:val="auto"/>
          <w:sz w:val="28"/>
          <w:szCs w:val="28"/>
          <w:highlight w:val="none"/>
          <w:lang w:val="zh-TW"/>
        </w:rPr>
        <w:t>效力，本协议自双方签字盖章后生效</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合同期满后失效</w:t>
      </w:r>
      <w:r>
        <w:rPr>
          <w:rFonts w:hint="default" w:ascii="Times New Roman" w:hAnsi="Times New Roman" w:eastAsia="仿宋" w:cs="Times New Roman"/>
          <w:color w:val="auto"/>
          <w:sz w:val="28"/>
          <w:szCs w:val="28"/>
          <w:highlight w:val="none"/>
          <w:lang w:val="zh-TW" w:eastAsia="zh-CN"/>
        </w:rPr>
        <w:t>。</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1A6BCEED">
        <w:tblPrEx>
          <w:tblCellMar>
            <w:top w:w="0" w:type="dxa"/>
            <w:left w:w="108" w:type="dxa"/>
            <w:bottom w:w="0" w:type="dxa"/>
            <w:right w:w="108" w:type="dxa"/>
          </w:tblCellMar>
        </w:tblPrEx>
        <w:trPr>
          <w:trHeight w:val="1094" w:hRule="atLeast"/>
          <w:jc w:val="center"/>
        </w:trPr>
        <w:tc>
          <w:tcPr>
            <w:tcW w:w="4433" w:type="dxa"/>
            <w:noWrap w:val="0"/>
            <w:vAlign w:val="center"/>
          </w:tcPr>
          <w:p w14:paraId="44621832">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715FA214">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0273FEED">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CF6E61B">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08B92AC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6779824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41D44421">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73D9F36E">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62DE60F">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5A3F4CC">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FB4D47C">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E5236F1">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545A5BC">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5A5608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D2E52B0">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1BE207E4">
      <w:pPr>
        <w:pStyle w:val="3"/>
        <w:bidi w:val="0"/>
        <w:rPr>
          <w:rFonts w:hint="default" w:ascii="Times New Roman" w:hAnsi="Times New Roman" w:eastAsia="黑体" w:cs="Times New Roman"/>
          <w:b w:val="0"/>
          <w:bCs w:val="0"/>
          <w:color w:val="auto"/>
          <w:sz w:val="32"/>
          <w:szCs w:val="28"/>
          <w:highlight w:val="none"/>
        </w:rPr>
      </w:pPr>
      <w:bookmarkStart w:id="157" w:name="_Toc2917"/>
      <w:r>
        <w:rPr>
          <w:rFonts w:hint="default" w:ascii="Times New Roman" w:hAnsi="Times New Roman" w:eastAsia="黑体" w:cs="Times New Roman"/>
          <w:b w:val="0"/>
          <w:bCs w:val="0"/>
          <w:color w:val="auto"/>
          <w:sz w:val="32"/>
          <w:szCs w:val="28"/>
          <w:highlight w:val="none"/>
        </w:rPr>
        <w:t>第三章 竞价文件</w:t>
      </w:r>
      <w:bookmarkEnd w:id="157"/>
    </w:p>
    <w:p w14:paraId="59B77D47">
      <w:pPr>
        <w:bidi w:val="0"/>
        <w:jc w:val="center"/>
        <w:rPr>
          <w:rFonts w:hint="default" w:ascii="Times New Roman" w:hAnsi="Times New Roman" w:cs="Times New Roman"/>
          <w:b/>
          <w:bCs/>
          <w:color w:val="auto"/>
          <w:sz w:val="30"/>
          <w:szCs w:val="30"/>
          <w:highlight w:val="none"/>
          <w:lang w:val="en-US" w:eastAsia="zh-CN"/>
        </w:rPr>
      </w:pPr>
    </w:p>
    <w:p w14:paraId="0B388FF6">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安徽交控东流新材料有限公司</w:t>
      </w:r>
    </w:p>
    <w:p w14:paraId="3F5CE67F">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202</w:t>
      </w:r>
      <w:r>
        <w:rPr>
          <w:rFonts w:hint="eastAsia" w:ascii="Times New Roman" w:hAnsi="Times New Roman" w:cs="Times New Roman"/>
          <w:b/>
          <w:bCs/>
          <w:color w:val="auto"/>
          <w:sz w:val="30"/>
          <w:szCs w:val="30"/>
          <w:highlight w:val="none"/>
          <w:lang w:val="en-US" w:eastAsia="zh-CN"/>
        </w:rPr>
        <w:t>5</w:t>
      </w:r>
      <w:r>
        <w:rPr>
          <w:rFonts w:hint="default" w:ascii="Times New Roman" w:hAnsi="Times New Roman" w:cs="Times New Roman"/>
          <w:b/>
          <w:bCs/>
          <w:color w:val="auto"/>
          <w:sz w:val="30"/>
          <w:szCs w:val="30"/>
          <w:highlight w:val="none"/>
          <w:lang w:val="en-US" w:eastAsia="zh-CN"/>
        </w:rPr>
        <w:t>年</w:t>
      </w:r>
      <w:r>
        <w:rPr>
          <w:rFonts w:hint="eastAsia" w:ascii="Times New Roman" w:hAnsi="Times New Roman" w:cs="Times New Roman"/>
          <w:b/>
          <w:bCs/>
          <w:color w:val="auto"/>
          <w:sz w:val="30"/>
          <w:szCs w:val="30"/>
          <w:highlight w:val="none"/>
          <w:lang w:val="en-US" w:eastAsia="zh-CN"/>
        </w:rPr>
        <w:t>第六期杂石混合料</w:t>
      </w:r>
      <w:r>
        <w:rPr>
          <w:rFonts w:hint="default" w:ascii="Times New Roman" w:hAnsi="Times New Roman" w:cs="Times New Roman"/>
          <w:b/>
          <w:bCs/>
          <w:color w:val="auto"/>
          <w:sz w:val="30"/>
          <w:szCs w:val="30"/>
          <w:highlight w:val="none"/>
          <w:lang w:val="en-US" w:eastAsia="zh-CN"/>
        </w:rPr>
        <w:t>竞价销售项目</w:t>
      </w:r>
    </w:p>
    <w:p w14:paraId="4ECCF581">
      <w:pPr>
        <w:pStyle w:val="13"/>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71CC888C">
      <w:pPr>
        <w:spacing w:before="34"/>
        <w:rPr>
          <w:rFonts w:hint="default" w:ascii="Times New Roman" w:hAnsi="Times New Roman" w:cs="Times New Roman"/>
          <w:color w:val="auto"/>
          <w:sz w:val="24"/>
          <w:highlight w:val="none"/>
          <w:u w:val="single"/>
        </w:rPr>
      </w:pPr>
    </w:p>
    <w:p w14:paraId="235E36D7">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竞</w:t>
      </w:r>
    </w:p>
    <w:p w14:paraId="67DB2671">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价</w:t>
      </w:r>
    </w:p>
    <w:p w14:paraId="2B4FE1F6">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文</w:t>
      </w:r>
    </w:p>
    <w:p w14:paraId="1CF1F556">
      <w:pPr>
        <w:spacing w:before="34" w:line="240" w:lineRule="auto"/>
        <w:jc w:val="center"/>
        <w:rPr>
          <w:rFonts w:hint="default" w:ascii="Times New Roman" w:hAnsi="Times New Roman" w:cs="Times New Roman"/>
          <w:color w:val="auto"/>
          <w:sz w:val="24"/>
          <w:highlight w:val="none"/>
          <w:u w:val="none"/>
        </w:rPr>
      </w:pPr>
      <w:r>
        <w:rPr>
          <w:rFonts w:hint="default" w:ascii="Times New Roman" w:hAnsi="Times New Roman" w:cs="Times New Roman"/>
          <w:b/>
          <w:bCs/>
          <w:color w:val="auto"/>
          <w:sz w:val="84"/>
          <w:szCs w:val="84"/>
          <w:highlight w:val="none"/>
          <w:u w:val="none"/>
          <w:lang w:val="en-US" w:eastAsia="zh-CN"/>
        </w:rPr>
        <w:t>件</w:t>
      </w:r>
    </w:p>
    <w:p w14:paraId="00A8344C">
      <w:pPr>
        <w:spacing w:before="34"/>
        <w:ind w:firstLine="1200" w:firstLineChars="500"/>
        <w:rPr>
          <w:rFonts w:hint="default" w:ascii="Times New Roman" w:hAnsi="Times New Roman" w:cs="Times New Roman"/>
          <w:color w:val="auto"/>
          <w:sz w:val="24"/>
          <w:highlight w:val="none"/>
        </w:rPr>
      </w:pPr>
    </w:p>
    <w:p w14:paraId="0DD11258">
      <w:pPr>
        <w:spacing w:before="34"/>
        <w:ind w:firstLine="1200" w:firstLineChars="500"/>
        <w:rPr>
          <w:rFonts w:hint="default" w:ascii="Times New Roman" w:hAnsi="Times New Roman" w:cs="Times New Roman"/>
          <w:color w:val="auto"/>
          <w:sz w:val="24"/>
          <w:highlight w:val="none"/>
        </w:rPr>
      </w:pPr>
    </w:p>
    <w:p w14:paraId="43E6B6AD">
      <w:pPr>
        <w:spacing w:before="34"/>
        <w:ind w:firstLine="1200" w:firstLineChars="500"/>
        <w:rPr>
          <w:rFonts w:hint="default" w:ascii="Times New Roman" w:hAnsi="Times New Roman" w:cs="Times New Roman"/>
          <w:color w:val="auto"/>
          <w:sz w:val="24"/>
          <w:highlight w:val="none"/>
        </w:rPr>
      </w:pPr>
    </w:p>
    <w:p w14:paraId="37F040DF">
      <w:pPr>
        <w:spacing w:before="34"/>
        <w:rPr>
          <w:rFonts w:hint="default" w:ascii="Times New Roman" w:hAnsi="Times New Roman" w:cs="Times New Roman"/>
          <w:color w:val="auto"/>
          <w:sz w:val="24"/>
          <w:highlight w:val="none"/>
        </w:rPr>
      </w:pPr>
    </w:p>
    <w:p w14:paraId="07E067D3">
      <w:pPr>
        <w:spacing w:before="34"/>
        <w:ind w:firstLine="964" w:firstLineChars="300"/>
        <w:rPr>
          <w:rFonts w:hint="default" w:ascii="Times New Roman" w:hAnsi="Times New Roman" w:eastAsia="方正仿宋_GB2312" w:cs="Times New Roman"/>
          <w:b/>
          <w:bCs/>
          <w:color w:val="auto"/>
          <w:sz w:val="32"/>
          <w:szCs w:val="32"/>
          <w:highlight w:val="none"/>
          <w:u w:val="single"/>
        </w:rPr>
      </w:pPr>
      <w:r>
        <w:rPr>
          <w:rFonts w:hint="default" w:ascii="Times New Roman" w:hAnsi="Times New Roman" w:eastAsia="方正仿宋_GB2312" w:cs="Times New Roman"/>
          <w:b/>
          <w:bCs/>
          <w:color w:val="auto"/>
          <w:sz w:val="32"/>
          <w:szCs w:val="32"/>
          <w:highlight w:val="none"/>
        </w:rPr>
        <w:t xml:space="preserve">竞买人（盖章）： </w:t>
      </w:r>
      <w:r>
        <w:rPr>
          <w:rFonts w:hint="default" w:ascii="Times New Roman" w:hAnsi="Times New Roman" w:eastAsia="方正仿宋_GB2312" w:cs="Times New Roman"/>
          <w:b/>
          <w:bCs/>
          <w:color w:val="auto"/>
          <w:sz w:val="32"/>
          <w:szCs w:val="32"/>
          <w:highlight w:val="none"/>
          <w:u w:val="single"/>
        </w:rPr>
        <w:t xml:space="preserve">                        </w:t>
      </w:r>
    </w:p>
    <w:p w14:paraId="1B4EF742">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auto"/>
          <w:kern w:val="2"/>
          <w:sz w:val="32"/>
          <w:szCs w:val="32"/>
          <w:highlight w:val="none"/>
          <w:u w:val="single"/>
          <w:lang w:val="en-US" w:eastAsia="zh-CN" w:bidi="ar-SA"/>
        </w:rPr>
      </w:pPr>
      <w:r>
        <w:rPr>
          <w:rFonts w:hint="default" w:ascii="Times New Roman" w:hAnsi="Times New Roman" w:eastAsia="方正仿宋_GB2312" w:cs="Times New Roman"/>
          <w:b/>
          <w:bCs/>
          <w:color w:val="auto"/>
          <w:kern w:val="2"/>
          <w:sz w:val="32"/>
          <w:szCs w:val="32"/>
          <w:highlight w:val="none"/>
          <w:lang w:val="en-US" w:eastAsia="zh-CN" w:bidi="ar-SA"/>
        </w:rPr>
        <w:t xml:space="preserve">  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p>
    <w:p w14:paraId="47505C24">
      <w:pPr>
        <w:spacing w:before="34"/>
        <w:ind w:firstLine="1200" w:firstLineChars="500"/>
        <w:rPr>
          <w:rFonts w:hint="default" w:ascii="Times New Roman" w:hAnsi="Times New Roman" w:cs="Times New Roman"/>
          <w:color w:val="auto"/>
          <w:sz w:val="24"/>
          <w:highlight w:val="none"/>
          <w:u w:val="single"/>
        </w:rPr>
      </w:pPr>
    </w:p>
    <w:p w14:paraId="657CCA31">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8" w:name="_Toc17163"/>
      <w:r>
        <w:rPr>
          <w:rFonts w:hint="default" w:ascii="Times New Roman" w:hAnsi="Times New Roman" w:eastAsia="黑体" w:cs="Times New Roman"/>
          <w:b w:val="0"/>
          <w:bCs/>
          <w:color w:val="auto"/>
          <w:sz w:val="32"/>
          <w:szCs w:val="32"/>
          <w:highlight w:val="none"/>
        </w:rPr>
        <w:t>一、竞买人营业执照复印件</w:t>
      </w:r>
      <w:bookmarkEnd w:id="158"/>
      <w:r>
        <w:rPr>
          <w:rFonts w:hint="default" w:ascii="Times New Roman" w:hAnsi="Times New Roman" w:eastAsia="黑体" w:cs="Times New Roman"/>
          <w:b w:val="0"/>
          <w:bCs/>
          <w:color w:val="auto"/>
          <w:sz w:val="32"/>
          <w:szCs w:val="32"/>
          <w:highlight w:val="none"/>
        </w:rPr>
        <w:t xml:space="preserve"> </w:t>
      </w:r>
    </w:p>
    <w:p w14:paraId="3B781496">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9" w:name="_Toc26616"/>
      <w:r>
        <w:rPr>
          <w:rFonts w:hint="default" w:ascii="Times New Roman" w:hAnsi="Times New Roman" w:eastAsia="黑体" w:cs="Times New Roman"/>
          <w:b w:val="0"/>
          <w:bCs/>
          <w:color w:val="auto"/>
          <w:sz w:val="32"/>
          <w:szCs w:val="32"/>
          <w:highlight w:val="none"/>
        </w:rPr>
        <w:t>二、竞买人的法定代表人身份证明书</w:t>
      </w:r>
      <w:bookmarkEnd w:id="159"/>
    </w:p>
    <w:p w14:paraId="44ED17F3">
      <w:pPr>
        <w:pStyle w:val="5"/>
        <w:spacing w:before="8"/>
        <w:rPr>
          <w:rFonts w:hint="default" w:ascii="Times New Roman" w:hAnsi="Times New Roman" w:cs="Times New Roman"/>
          <w:b/>
          <w:color w:val="auto"/>
          <w:sz w:val="31"/>
          <w:highlight w:val="none"/>
        </w:rPr>
      </w:pPr>
    </w:p>
    <w:p w14:paraId="48A4A996">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07BD2456">
      <w:pPr>
        <w:pStyle w:val="5"/>
        <w:rPr>
          <w:rFonts w:hint="default" w:ascii="Times New Roman" w:hAnsi="Times New Roman" w:cs="Times New Roman"/>
          <w:b/>
          <w:color w:val="auto"/>
          <w:sz w:val="20"/>
          <w:highlight w:val="none"/>
        </w:rPr>
      </w:pPr>
    </w:p>
    <w:p w14:paraId="7213A39C">
      <w:pPr>
        <w:pStyle w:val="5"/>
        <w:spacing w:before="10"/>
        <w:rPr>
          <w:rFonts w:hint="default" w:ascii="Times New Roman" w:hAnsi="Times New Roman" w:cs="Times New Roman"/>
          <w:b/>
          <w:color w:val="auto"/>
          <w:sz w:val="28"/>
          <w:szCs w:val="28"/>
          <w:highlight w:val="none"/>
        </w:rPr>
      </w:pPr>
    </w:p>
    <w:p w14:paraId="318D5C8A">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0377C5D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62B34A2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7B9F60CC">
                      <w:pPr>
                        <w:jc w:val="center"/>
                      </w:pPr>
                    </w:p>
                    <w:p w14:paraId="3A5F9545">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A2B8D7C">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F99ACE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2323F47">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72EDA4D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93F8035">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DF9B5E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A0BBFC2">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78EC2533">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26AD209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1F54E2F1">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7E3371BA">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37E08902">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57EE4C38">
      <w:pPr>
        <w:pStyle w:val="5"/>
        <w:rPr>
          <w:rFonts w:hint="default" w:ascii="Times New Roman" w:hAnsi="Times New Roman" w:cs="Times New Roman"/>
          <w:b/>
          <w:color w:val="auto"/>
          <w:highlight w:val="none"/>
        </w:rPr>
      </w:pPr>
    </w:p>
    <w:p w14:paraId="3CD4FB1A">
      <w:pPr>
        <w:pStyle w:val="5"/>
        <w:spacing w:before="54"/>
        <w:jc w:val="right"/>
        <w:rPr>
          <w:rFonts w:hint="default" w:ascii="Times New Roman" w:hAnsi="Times New Roman" w:cs="Times New Roman"/>
          <w:color w:val="auto"/>
          <w:sz w:val="28"/>
          <w:highlight w:val="none"/>
        </w:rPr>
      </w:pPr>
    </w:p>
    <w:p w14:paraId="146833E6">
      <w:pPr>
        <w:pStyle w:val="5"/>
        <w:spacing w:before="54"/>
        <w:jc w:val="right"/>
        <w:rPr>
          <w:rFonts w:hint="default" w:ascii="Times New Roman" w:hAnsi="Times New Roman" w:cs="Times New Roman"/>
          <w:color w:val="auto"/>
          <w:sz w:val="28"/>
          <w:highlight w:val="none"/>
        </w:rPr>
      </w:pPr>
    </w:p>
    <w:p w14:paraId="79C0B7A2">
      <w:pPr>
        <w:pStyle w:val="5"/>
        <w:spacing w:before="54"/>
        <w:jc w:val="right"/>
        <w:rPr>
          <w:rFonts w:hint="default" w:ascii="Times New Roman" w:hAnsi="Times New Roman" w:cs="Times New Roman"/>
          <w:color w:val="auto"/>
          <w:sz w:val="28"/>
          <w:highlight w:val="none"/>
        </w:rPr>
      </w:pPr>
    </w:p>
    <w:p w14:paraId="27B437FF">
      <w:pPr>
        <w:pStyle w:val="5"/>
        <w:spacing w:before="54"/>
        <w:jc w:val="right"/>
        <w:rPr>
          <w:rFonts w:hint="default" w:ascii="Times New Roman" w:hAnsi="Times New Roman" w:cs="Times New Roman"/>
          <w:color w:val="auto"/>
          <w:sz w:val="28"/>
          <w:highlight w:val="none"/>
        </w:rPr>
      </w:pPr>
    </w:p>
    <w:p w14:paraId="39714283">
      <w:pPr>
        <w:pStyle w:val="5"/>
        <w:spacing w:before="54"/>
        <w:jc w:val="right"/>
        <w:rPr>
          <w:rFonts w:hint="default" w:ascii="Times New Roman" w:hAnsi="Times New Roman" w:cs="Times New Roman"/>
          <w:color w:val="auto"/>
          <w:sz w:val="28"/>
          <w:highlight w:val="none"/>
        </w:rPr>
      </w:pPr>
    </w:p>
    <w:p w14:paraId="0DF49EF7">
      <w:pPr>
        <w:spacing w:line="292" w:lineRule="auto"/>
        <w:rPr>
          <w:rFonts w:hint="default" w:ascii="Times New Roman" w:hAnsi="Times New Roman" w:cs="Times New Roman"/>
          <w:color w:val="auto"/>
          <w:highlight w:val="none"/>
        </w:rPr>
        <w:sectPr>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281A628D">
      <w:pPr>
        <w:pStyle w:val="2"/>
        <w:jc w:val="left"/>
        <w:rPr>
          <w:rFonts w:hint="default" w:ascii="Times New Roman" w:hAnsi="Times New Roman" w:eastAsia="黑体" w:cs="Times New Roman"/>
          <w:b w:val="0"/>
          <w:bCs/>
          <w:color w:val="auto"/>
          <w:sz w:val="32"/>
          <w:szCs w:val="32"/>
          <w:highlight w:val="none"/>
          <w:lang w:val="en-US" w:eastAsia="zh-CN"/>
        </w:rPr>
      </w:pPr>
      <w:bookmarkStart w:id="160" w:name="_bookmark16"/>
      <w:bookmarkEnd w:id="160"/>
      <w:bookmarkStart w:id="161" w:name="_TOC_250000"/>
      <w:bookmarkEnd w:id="161"/>
      <w:bookmarkStart w:id="162" w:name="_bookmark9"/>
      <w:bookmarkEnd w:id="162"/>
      <w:bookmarkStart w:id="163" w:name="_bookmark10"/>
      <w:bookmarkEnd w:id="163"/>
      <w:bookmarkStart w:id="164" w:name="_bookmark12"/>
      <w:bookmarkEnd w:id="164"/>
      <w:bookmarkStart w:id="165" w:name="_bookmark14"/>
      <w:bookmarkEnd w:id="165"/>
      <w:bookmarkStart w:id="166" w:name="_bookmark8"/>
      <w:bookmarkEnd w:id="166"/>
      <w:bookmarkStart w:id="167" w:name="_bookmark11"/>
      <w:bookmarkEnd w:id="167"/>
      <w:bookmarkStart w:id="168" w:name="_bookmark17"/>
      <w:bookmarkEnd w:id="168"/>
      <w:bookmarkStart w:id="169" w:name="_bookmark15"/>
      <w:bookmarkEnd w:id="169"/>
      <w:bookmarkStart w:id="170" w:name="_Toc32608"/>
      <w:r>
        <w:rPr>
          <w:rFonts w:hint="default" w:ascii="Times New Roman" w:hAnsi="Times New Roman" w:eastAsia="黑体" w:cs="Times New Roman"/>
          <w:b w:val="0"/>
          <w:bCs/>
          <w:color w:val="auto"/>
          <w:sz w:val="32"/>
          <w:szCs w:val="32"/>
          <w:highlight w:val="none"/>
          <w:lang w:val="en-US" w:eastAsia="zh-CN"/>
        </w:rPr>
        <w:t>三、竞买人的法定代表人授权委托书</w:t>
      </w:r>
      <w:bookmarkEnd w:id="170"/>
    </w:p>
    <w:p w14:paraId="1F87386D">
      <w:pPr>
        <w:pStyle w:val="5"/>
        <w:spacing w:before="12"/>
        <w:rPr>
          <w:rFonts w:hint="default" w:ascii="Times New Roman" w:hAnsi="Times New Roman" w:cs="Times New Roman"/>
          <w:b/>
          <w:color w:val="auto"/>
          <w:sz w:val="36"/>
          <w:highlight w:val="none"/>
        </w:rPr>
      </w:pPr>
    </w:p>
    <w:p w14:paraId="5973D383">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1" w:name="_Toc28559"/>
      <w:bookmarkStart w:id="172" w:name="_Toc3154"/>
      <w:bookmarkStart w:id="173" w:name="_Toc8846"/>
      <w:bookmarkStart w:id="174" w:name="_Toc23178"/>
      <w:bookmarkStart w:id="175" w:name="_Toc19548"/>
      <w:r>
        <w:rPr>
          <w:rFonts w:hint="default" w:ascii="Times New Roman" w:hAnsi="Times New Roman" w:eastAsia="方正小标宋简体" w:cs="Times New Roman"/>
          <w:b w:val="0"/>
          <w:bCs w:val="0"/>
          <w:color w:val="auto"/>
          <w:sz w:val="32"/>
          <w:szCs w:val="32"/>
          <w:highlight w:val="none"/>
        </w:rPr>
        <w:t>法定代表人授权委托书</w:t>
      </w:r>
      <w:bookmarkEnd w:id="171"/>
      <w:bookmarkEnd w:id="172"/>
      <w:bookmarkEnd w:id="173"/>
      <w:bookmarkEnd w:id="174"/>
      <w:bookmarkEnd w:id="175"/>
    </w:p>
    <w:p w14:paraId="3514DEF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4D7FE3FB">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2FF621F2">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292D5E3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6473DD7D">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5F569761">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6545F3AD">
                      <w:pPr>
                        <w:jc w:val="center"/>
                      </w:pPr>
                    </w:p>
                    <w:p w14:paraId="1BD934B7">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00711F56">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3CDE434A">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4644FDA6">
      <w:pPr>
        <w:pStyle w:val="5"/>
        <w:rPr>
          <w:rFonts w:hint="default" w:ascii="Times New Roman" w:hAnsi="Times New Roman" w:cs="Times New Roman"/>
          <w:color w:val="auto"/>
          <w:sz w:val="28"/>
          <w:szCs w:val="28"/>
          <w:highlight w:val="none"/>
        </w:rPr>
      </w:pPr>
    </w:p>
    <w:p w14:paraId="1F156595">
      <w:pPr>
        <w:pStyle w:val="5"/>
        <w:rPr>
          <w:rFonts w:hint="default" w:ascii="Times New Roman" w:hAnsi="Times New Roman" w:cs="Times New Roman"/>
          <w:color w:val="auto"/>
          <w:sz w:val="28"/>
          <w:szCs w:val="28"/>
          <w:highlight w:val="none"/>
        </w:rPr>
      </w:pPr>
    </w:p>
    <w:p w14:paraId="150668AD">
      <w:pPr>
        <w:pStyle w:val="5"/>
        <w:rPr>
          <w:rFonts w:hint="default" w:ascii="Times New Roman" w:hAnsi="Times New Roman" w:cs="Times New Roman"/>
          <w:color w:val="auto"/>
          <w:sz w:val="28"/>
          <w:szCs w:val="28"/>
          <w:highlight w:val="none"/>
        </w:rPr>
      </w:pPr>
    </w:p>
    <w:p w14:paraId="3CC612EE">
      <w:pPr>
        <w:pStyle w:val="5"/>
        <w:rPr>
          <w:rFonts w:hint="default" w:ascii="Times New Roman" w:hAnsi="Times New Roman" w:cs="Times New Roman"/>
          <w:color w:val="auto"/>
          <w:sz w:val="28"/>
          <w:szCs w:val="28"/>
          <w:highlight w:val="none"/>
        </w:rPr>
      </w:pPr>
    </w:p>
    <w:p w14:paraId="710E65B6">
      <w:pPr>
        <w:pStyle w:val="5"/>
        <w:rPr>
          <w:rFonts w:hint="default" w:ascii="Times New Roman" w:hAnsi="Times New Roman" w:cs="Times New Roman"/>
          <w:color w:val="auto"/>
          <w:sz w:val="28"/>
          <w:szCs w:val="28"/>
          <w:highlight w:val="none"/>
        </w:rPr>
      </w:pPr>
    </w:p>
    <w:p w14:paraId="7F672EF9">
      <w:pPr>
        <w:pStyle w:val="5"/>
        <w:rPr>
          <w:rFonts w:hint="default" w:ascii="Times New Roman" w:hAnsi="Times New Roman" w:cs="Times New Roman"/>
          <w:color w:val="auto"/>
          <w:sz w:val="28"/>
          <w:szCs w:val="28"/>
          <w:highlight w:val="none"/>
        </w:rPr>
      </w:pPr>
    </w:p>
    <w:p w14:paraId="4EDA8884">
      <w:pPr>
        <w:pStyle w:val="5"/>
        <w:rPr>
          <w:rFonts w:hint="default" w:ascii="Times New Roman" w:hAnsi="Times New Roman" w:cs="Times New Roman"/>
          <w:color w:val="auto"/>
          <w:sz w:val="28"/>
          <w:szCs w:val="28"/>
          <w:highlight w:val="none"/>
        </w:rPr>
      </w:pPr>
    </w:p>
    <w:p w14:paraId="77C503FA">
      <w:pPr>
        <w:pStyle w:val="5"/>
        <w:rPr>
          <w:rFonts w:hint="default" w:ascii="Times New Roman" w:hAnsi="Times New Roman" w:cs="Times New Roman"/>
          <w:color w:val="auto"/>
          <w:sz w:val="28"/>
          <w:szCs w:val="28"/>
          <w:highlight w:val="none"/>
        </w:rPr>
      </w:pPr>
    </w:p>
    <w:p w14:paraId="03763779">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6A2D1E4A">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38D65585">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1E008C1">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6" w:name="_Toc4371"/>
      <w:r>
        <w:rPr>
          <w:rFonts w:hint="default" w:ascii="Times New Roman" w:hAnsi="Times New Roman" w:eastAsia="方正仿宋_GB2312" w:cs="Times New Roman"/>
          <w:color w:val="auto"/>
          <w:sz w:val="28"/>
          <w:szCs w:val="28"/>
          <w:highlight w:val="none"/>
        </w:rPr>
        <w:t xml:space="preserve">    </w:t>
      </w:r>
    </w:p>
    <w:p w14:paraId="5F8809DB">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77" w:name="_Toc18691"/>
      <w:r>
        <w:rPr>
          <w:rFonts w:hint="default" w:ascii="Times New Roman" w:hAnsi="Times New Roman" w:eastAsia="黑体" w:cs="Times New Roman"/>
          <w:b w:val="0"/>
          <w:bCs/>
          <w:color w:val="auto"/>
          <w:sz w:val="32"/>
          <w:szCs w:val="32"/>
          <w:highlight w:val="none"/>
        </w:rPr>
        <w:t>四、竞价交易承诺书</w:t>
      </w:r>
      <w:bookmarkEnd w:id="176"/>
      <w:bookmarkEnd w:id="177"/>
    </w:p>
    <w:p w14:paraId="7CB46993">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3C4CCAAA">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436660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79970B35">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8" w:name="_Toc27209"/>
      <w:bookmarkStart w:id="179" w:name="_Toc25471"/>
      <w:bookmarkStart w:id="180" w:name="_Toc668"/>
    </w:p>
    <w:p w14:paraId="3F3481E5">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8"/>
      <w:bookmarkEnd w:id="179"/>
      <w:bookmarkEnd w:id="180"/>
    </w:p>
    <w:p w14:paraId="544AAB3E">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393FA14D">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333D5F4F">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595F4A6A">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6FD1D484">
      <w:pPr>
        <w:pStyle w:val="14"/>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1" w:name="_Toc23877"/>
      <w:bookmarkStart w:id="182" w:name="_Toc276"/>
      <w:bookmarkStart w:id="183" w:name="_Toc10500"/>
      <w:bookmarkStart w:id="184" w:name="_Toc4643"/>
      <w:bookmarkStart w:id="185" w:name="_Toc3413"/>
      <w:r>
        <w:rPr>
          <w:rFonts w:hint="default" w:ascii="Times New Roman" w:hAnsi="Times New Roman" w:eastAsia="华文仿宋" w:cs="Times New Roman"/>
          <w:color w:val="auto"/>
          <w:spacing w:val="-1"/>
          <w:sz w:val="28"/>
          <w:szCs w:val="28"/>
          <w:highlight w:val="none"/>
        </w:rPr>
        <w:t>合同签订后，按合同约定的时间完成提货。</w:t>
      </w:r>
      <w:bookmarkEnd w:id="181"/>
      <w:bookmarkEnd w:id="182"/>
      <w:bookmarkEnd w:id="183"/>
      <w:bookmarkEnd w:id="184"/>
      <w:bookmarkEnd w:id="185"/>
    </w:p>
    <w:p w14:paraId="1E9BE1B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0B45655E">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78866CFA">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52A91A98">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2DDD65BA">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6949A344">
      <w:pPr>
        <w:pStyle w:val="2"/>
        <w:jc w:val="left"/>
        <w:rPr>
          <w:rFonts w:hint="default" w:ascii="Times New Roman" w:hAnsi="Times New Roman" w:eastAsia="黑体" w:cs="Times New Roman"/>
          <w:b w:val="0"/>
          <w:bCs/>
          <w:color w:val="auto"/>
          <w:sz w:val="32"/>
          <w:szCs w:val="32"/>
          <w:highlight w:val="none"/>
          <w:lang w:val="en-US" w:eastAsia="zh-CN"/>
        </w:rPr>
      </w:pPr>
      <w:bookmarkStart w:id="186" w:name="_Toc1090"/>
      <w:bookmarkStart w:id="187" w:name="_Toc25331"/>
      <w:r>
        <w:rPr>
          <w:rFonts w:hint="default" w:ascii="Times New Roman" w:hAnsi="Times New Roman" w:eastAsia="黑体" w:cs="Times New Roman"/>
          <w:b w:val="0"/>
          <w:bCs/>
          <w:color w:val="auto"/>
          <w:sz w:val="32"/>
          <w:szCs w:val="32"/>
          <w:highlight w:val="none"/>
          <w:lang w:val="en-US" w:eastAsia="zh-CN"/>
        </w:rPr>
        <w:t>五、合法加工生产承诺函</w:t>
      </w:r>
    </w:p>
    <w:p w14:paraId="7C2A603E">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4FDDF7A5">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7623F539">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3A9CD1C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7CBE6A2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5B788E2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6CFF507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eastAsia" w:ascii="Times New Roman" w:hAnsi="Times New Roman" w:cs="Times New Roman"/>
          <w:color w:val="auto"/>
          <w:spacing w:val="-1"/>
          <w:sz w:val="28"/>
          <w:szCs w:val="28"/>
          <w:highlight w:val="none"/>
          <w:lang w:val="en-US" w:eastAsia="zh-CN"/>
        </w:rPr>
        <w:t xml:space="preserve">    </w:t>
      </w: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453AD46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4C59F71C">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337F0D2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25C1E7E2">
      <w:pPr>
        <w:rPr>
          <w:rFonts w:hint="default" w:ascii="Times New Roman" w:hAnsi="Times New Roman" w:eastAsia="方正仿宋_GB2312" w:cs="Times New Roman"/>
          <w:color w:val="auto"/>
          <w:sz w:val="28"/>
          <w:szCs w:val="28"/>
          <w:highlight w:val="none"/>
        </w:rPr>
      </w:pPr>
    </w:p>
    <w:p w14:paraId="0FFE6DFB">
      <w:pPr>
        <w:pStyle w:val="2"/>
        <w:rPr>
          <w:rFonts w:hint="default" w:ascii="Times New Roman" w:hAnsi="Times New Roman" w:eastAsia="方正仿宋_GB2312" w:cs="Times New Roman"/>
          <w:color w:val="auto"/>
          <w:sz w:val="28"/>
          <w:szCs w:val="28"/>
          <w:highlight w:val="none"/>
        </w:rPr>
      </w:pPr>
    </w:p>
    <w:p w14:paraId="3613B2AE">
      <w:pPr>
        <w:rPr>
          <w:rFonts w:hint="default" w:ascii="Times New Roman" w:hAnsi="Times New Roman" w:eastAsia="方正仿宋_GB2312" w:cs="Times New Roman"/>
          <w:color w:val="auto"/>
          <w:sz w:val="28"/>
          <w:szCs w:val="28"/>
          <w:highlight w:val="none"/>
        </w:rPr>
      </w:pPr>
    </w:p>
    <w:p w14:paraId="0EA2DCAD">
      <w:pPr>
        <w:pStyle w:val="2"/>
        <w:rPr>
          <w:rFonts w:hint="default" w:ascii="Times New Roman" w:hAnsi="Times New Roman" w:eastAsia="方正仿宋_GB2312" w:cs="Times New Roman"/>
          <w:color w:val="auto"/>
          <w:sz w:val="28"/>
          <w:szCs w:val="28"/>
          <w:highlight w:val="none"/>
        </w:rPr>
      </w:pPr>
    </w:p>
    <w:p w14:paraId="6711F27F">
      <w:pPr>
        <w:rPr>
          <w:rFonts w:hint="default" w:ascii="Times New Roman" w:hAnsi="Times New Roman" w:eastAsia="方正仿宋_GB2312" w:cs="Times New Roman"/>
          <w:color w:val="auto"/>
          <w:sz w:val="28"/>
          <w:szCs w:val="28"/>
          <w:highlight w:val="none"/>
        </w:rPr>
      </w:pPr>
    </w:p>
    <w:p w14:paraId="70447BD6">
      <w:pPr>
        <w:pStyle w:val="2"/>
        <w:rPr>
          <w:rFonts w:hint="default" w:ascii="Times New Roman" w:hAnsi="Times New Roman" w:eastAsia="方正仿宋_GB2312" w:cs="Times New Roman"/>
          <w:color w:val="auto"/>
          <w:sz w:val="28"/>
          <w:szCs w:val="28"/>
          <w:highlight w:val="none"/>
        </w:rPr>
      </w:pPr>
    </w:p>
    <w:p w14:paraId="15E56110">
      <w:pPr>
        <w:rPr>
          <w:rFonts w:hint="default"/>
          <w:color w:val="auto"/>
        </w:rPr>
      </w:pPr>
    </w:p>
    <w:p w14:paraId="0FE82ABE">
      <w:pPr>
        <w:pStyle w:val="2"/>
        <w:rPr>
          <w:rFonts w:hint="default" w:ascii="Times New Roman" w:hAnsi="Times New Roman" w:eastAsia="方正仿宋_GB2312" w:cs="Times New Roman"/>
          <w:color w:val="auto"/>
          <w:sz w:val="28"/>
          <w:szCs w:val="28"/>
          <w:highlight w:val="none"/>
        </w:rPr>
      </w:pPr>
    </w:p>
    <w:p w14:paraId="4376374C">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六、</w:t>
      </w:r>
      <w:r>
        <w:rPr>
          <w:rFonts w:hint="default" w:ascii="Times New Roman" w:hAnsi="Times New Roman" w:eastAsia="黑体" w:cs="Times New Roman"/>
          <w:b w:val="0"/>
          <w:bCs/>
          <w:color w:val="auto"/>
          <w:sz w:val="32"/>
          <w:szCs w:val="32"/>
          <w:highlight w:val="none"/>
        </w:rPr>
        <w:t>竞买保证金汇款回执单</w:t>
      </w:r>
      <w:bookmarkEnd w:id="186"/>
      <w:bookmarkEnd w:id="187"/>
    </w:p>
    <w:p w14:paraId="7DAC7A13">
      <w:pPr>
        <w:pStyle w:val="5"/>
        <w:spacing w:before="9"/>
        <w:rPr>
          <w:rFonts w:hint="default" w:ascii="Times New Roman" w:hAnsi="Times New Roman" w:cs="Times New Roman"/>
          <w:b/>
          <w:color w:val="auto"/>
          <w:sz w:val="28"/>
          <w:szCs w:val="28"/>
          <w:highlight w:val="none"/>
        </w:rPr>
      </w:pPr>
    </w:p>
    <w:p w14:paraId="796CE6C5">
      <w:pPr>
        <w:widowControl w:val="0"/>
        <w:spacing w:line="240" w:lineRule="auto"/>
        <w:ind w:left="354" w:right="491"/>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8" w:name="_Toc6055"/>
      <w:bookmarkStart w:id="189" w:name="_Toc12166"/>
      <w:bookmarkStart w:id="190" w:name="_Toc28368"/>
      <w:bookmarkStart w:id="191" w:name="_Toc26444"/>
      <w:bookmarkStart w:id="192" w:name="_Toc1385"/>
      <w:bookmarkStart w:id="193" w:name="_Toc2608"/>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8"/>
      <w:bookmarkEnd w:id="189"/>
      <w:bookmarkEnd w:id="190"/>
      <w:bookmarkEnd w:id="191"/>
      <w:bookmarkEnd w:id="192"/>
      <w:bookmarkEnd w:id="193"/>
    </w:p>
    <w:p w14:paraId="1BDA07E0">
      <w:pPr>
        <w:spacing w:before="347"/>
        <w:ind w:left="2" w:right="137"/>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5FC1EC63">
      <w:pPr>
        <w:pStyle w:val="5"/>
        <w:rPr>
          <w:rFonts w:hint="default" w:ascii="Times New Roman" w:hAnsi="Times New Roman" w:eastAsia="华文仿宋" w:cs="Times New Roman"/>
          <w:color w:val="auto"/>
          <w:sz w:val="28"/>
          <w:szCs w:val="28"/>
          <w:highlight w:val="none"/>
        </w:rPr>
      </w:pPr>
    </w:p>
    <w:p w14:paraId="1C2C7A92">
      <w:pPr>
        <w:pStyle w:val="5"/>
        <w:rPr>
          <w:rFonts w:hint="default" w:ascii="Times New Roman" w:hAnsi="Times New Roman" w:eastAsia="华文仿宋" w:cs="Times New Roman"/>
          <w:color w:val="auto"/>
          <w:sz w:val="28"/>
          <w:szCs w:val="28"/>
          <w:highlight w:val="none"/>
        </w:rPr>
      </w:pPr>
    </w:p>
    <w:p w14:paraId="5909E1BB">
      <w:pPr>
        <w:pStyle w:val="5"/>
        <w:rPr>
          <w:rFonts w:hint="default" w:ascii="Times New Roman" w:hAnsi="Times New Roman" w:eastAsia="华文仿宋" w:cs="Times New Roman"/>
          <w:color w:val="auto"/>
          <w:sz w:val="28"/>
          <w:szCs w:val="28"/>
          <w:highlight w:val="none"/>
        </w:rPr>
      </w:pPr>
    </w:p>
    <w:p w14:paraId="350A7EFE">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4" w:name="_Toc7684"/>
      <w:r>
        <w:rPr>
          <w:rFonts w:hint="default" w:ascii="Times New Roman" w:hAnsi="Times New Roman" w:eastAsia="华文仿宋" w:cs="Times New Roman"/>
          <w:color w:val="auto"/>
          <w:spacing w:val="-1"/>
          <w:sz w:val="28"/>
          <w:szCs w:val="28"/>
          <w:highlight w:val="none"/>
        </w:rPr>
        <w:t xml:space="preserve">              </w:t>
      </w:r>
      <w:r>
        <w:rPr>
          <w:rFonts w:hint="eastAsia"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 竞买人（盖章）：</w:t>
      </w:r>
    </w:p>
    <w:p w14:paraId="06BABF53">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0092F736">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23C52322">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5" w:name="_Toc10884"/>
      <w:bookmarkStart w:id="196" w:name="_Toc5417"/>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5"/>
      <w:bookmarkEnd w:id="196"/>
    </w:p>
    <w:p w14:paraId="1C7BCBBD">
      <w:pPr>
        <w:pStyle w:val="2"/>
        <w:wordWrap w:val="0"/>
        <w:jc w:val="right"/>
        <w:rPr>
          <w:rFonts w:hint="default" w:ascii="Times New Roman" w:hAnsi="Times New Roman" w:eastAsia="方正仿宋_GB2312" w:cs="Times New Roman"/>
          <w:color w:val="auto"/>
          <w:sz w:val="28"/>
          <w:szCs w:val="28"/>
          <w:highlight w:val="none"/>
        </w:rPr>
      </w:pPr>
    </w:p>
    <w:p w14:paraId="6BDFAAA4">
      <w:pPr>
        <w:pStyle w:val="2"/>
        <w:wordWrap w:val="0"/>
        <w:jc w:val="right"/>
        <w:rPr>
          <w:rFonts w:hint="default" w:ascii="Times New Roman" w:hAnsi="Times New Roman" w:eastAsia="方正仿宋_GB2312" w:cs="Times New Roman"/>
          <w:color w:val="auto"/>
          <w:sz w:val="28"/>
          <w:szCs w:val="28"/>
          <w:highlight w:val="none"/>
        </w:rPr>
      </w:pPr>
    </w:p>
    <w:p w14:paraId="64F88A8E">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7" w:name="_Toc12702"/>
    </w:p>
    <w:p w14:paraId="4E250578">
      <w:pPr>
        <w:pStyle w:val="2"/>
        <w:wordWrap w:val="0"/>
        <w:ind w:left="0" w:leftChars="0" w:firstLine="0" w:firstLineChars="0"/>
        <w:jc w:val="both"/>
        <w:rPr>
          <w:rFonts w:hint="default" w:ascii="Times New Roman" w:hAnsi="Times New Roman" w:cs="Times New Roman"/>
          <w:color w:val="auto"/>
          <w:sz w:val="32"/>
          <w:szCs w:val="32"/>
          <w:highlight w:val="none"/>
        </w:rPr>
      </w:pPr>
    </w:p>
    <w:p w14:paraId="3B98991F">
      <w:pPr>
        <w:pStyle w:val="2"/>
        <w:wordWrap w:val="0"/>
        <w:ind w:left="0" w:leftChars="0" w:firstLine="0" w:firstLineChars="0"/>
        <w:jc w:val="both"/>
        <w:rPr>
          <w:rFonts w:hint="default" w:ascii="Times New Roman" w:hAnsi="Times New Roman" w:cs="Times New Roman"/>
          <w:color w:val="auto"/>
          <w:sz w:val="32"/>
          <w:szCs w:val="32"/>
          <w:highlight w:val="none"/>
        </w:rPr>
      </w:pPr>
    </w:p>
    <w:p w14:paraId="1558B2DA">
      <w:pPr>
        <w:pStyle w:val="2"/>
        <w:wordWrap w:val="0"/>
        <w:ind w:left="0" w:leftChars="0" w:firstLine="0" w:firstLineChars="0"/>
        <w:jc w:val="both"/>
        <w:rPr>
          <w:rFonts w:hint="default" w:ascii="Times New Roman" w:hAnsi="Times New Roman" w:cs="Times New Roman"/>
          <w:color w:val="auto"/>
          <w:sz w:val="32"/>
          <w:szCs w:val="32"/>
          <w:highlight w:val="none"/>
        </w:rPr>
      </w:pPr>
    </w:p>
    <w:p w14:paraId="3D9E8003">
      <w:pPr>
        <w:rPr>
          <w:rFonts w:hint="default" w:ascii="Times New Roman" w:hAnsi="Times New Roman" w:cs="Times New Roman"/>
          <w:color w:val="auto"/>
          <w:sz w:val="32"/>
          <w:szCs w:val="32"/>
          <w:highlight w:val="none"/>
        </w:rPr>
      </w:pPr>
    </w:p>
    <w:p w14:paraId="4F966BDB">
      <w:pPr>
        <w:pStyle w:val="2"/>
        <w:rPr>
          <w:rFonts w:hint="default"/>
          <w:color w:val="auto"/>
        </w:rPr>
      </w:pPr>
    </w:p>
    <w:p w14:paraId="4DA22B68">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七</w:t>
      </w:r>
      <w:r>
        <w:rPr>
          <w:rFonts w:hint="default" w:ascii="Times New Roman" w:hAnsi="Times New Roman" w:eastAsia="黑体" w:cs="Times New Roman"/>
          <w:b w:val="0"/>
          <w:bCs/>
          <w:color w:val="auto"/>
          <w:sz w:val="32"/>
          <w:szCs w:val="32"/>
          <w:highlight w:val="none"/>
        </w:rPr>
        <w:t>、竞价报价单</w:t>
      </w:r>
      <w:bookmarkEnd w:id="194"/>
      <w:bookmarkEnd w:id="197"/>
    </w:p>
    <w:p w14:paraId="5F62C0AA">
      <w:pPr>
        <w:spacing w:before="34" w:line="360" w:lineRule="auto"/>
        <w:ind w:left="12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r>
        <w:rPr>
          <w:rFonts w:hint="default" w:ascii="Times New Roman" w:hAnsi="Times New Roman" w:eastAsia="方正小标宋简体" w:cs="Times New Roman"/>
          <w:b w:val="0"/>
          <w:bCs/>
          <w:color w:val="auto"/>
          <w:sz w:val="32"/>
          <w:szCs w:val="32"/>
          <w:highlight w:val="none"/>
          <w:lang w:val="en-US" w:eastAsia="zh-CN"/>
        </w:rPr>
        <w:t xml:space="preserve"> </w:t>
      </w:r>
    </w:p>
    <w:tbl>
      <w:tblPr>
        <w:tblStyle w:val="9"/>
        <w:tblW w:w="8875" w:type="dxa"/>
        <w:tblInd w:w="0" w:type="dxa"/>
        <w:tblLayout w:type="fixed"/>
        <w:tblCellMar>
          <w:top w:w="0" w:type="dxa"/>
          <w:left w:w="0" w:type="dxa"/>
          <w:bottom w:w="0" w:type="dxa"/>
          <w:right w:w="0" w:type="dxa"/>
        </w:tblCellMar>
      </w:tblPr>
      <w:tblGrid>
        <w:gridCol w:w="2950"/>
        <w:gridCol w:w="5925"/>
      </w:tblGrid>
      <w:tr w14:paraId="44CE84A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82DD9">
            <w:pPr>
              <w:widowControl/>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0EEF4B">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2C2F4391">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2BCB13">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A2EBE3">
            <w:pPr>
              <w:widowControl/>
              <w:textAlignment w:val="center"/>
              <w:rPr>
                <w:rFonts w:hint="default" w:ascii="Times New Roman" w:hAnsi="Times New Roman" w:cs="Times New Roman"/>
                <w:color w:val="auto"/>
                <w:sz w:val="28"/>
                <w:szCs w:val="28"/>
                <w:highlight w:val="none"/>
                <w:u w:val="none"/>
                <w:lang w:val="en-US" w:eastAsia="zh-CN"/>
              </w:rPr>
            </w:pPr>
            <w:r>
              <w:rPr>
                <w:rFonts w:hint="eastAsia" w:ascii="Times New Roman" w:hAnsi="Times New Roman" w:cs="Times New Roman"/>
                <w:color w:val="auto"/>
                <w:sz w:val="28"/>
                <w:szCs w:val="28"/>
                <w:highlight w:val="none"/>
                <w:u w:val="none"/>
                <w:lang w:val="en-US" w:eastAsia="zh-CN"/>
              </w:rPr>
              <w:t>杂石混合料</w:t>
            </w:r>
          </w:p>
        </w:tc>
      </w:tr>
      <w:tr w14:paraId="34BE114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AD3357">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8492DE">
            <w:pPr>
              <w:widowControl/>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小写：</w:t>
            </w:r>
            <w:r>
              <w:rPr>
                <w:rFonts w:hint="eastAsia" w:ascii="Times New Roman" w:hAnsi="Times New Roman" w:cs="Times New Roman"/>
                <w:color w:val="auto"/>
                <w:sz w:val="28"/>
                <w:szCs w:val="28"/>
                <w:highlight w:val="none"/>
                <w:u w:val="none"/>
                <w:lang w:val="en-US" w:eastAsia="zh-CN"/>
              </w:rPr>
              <w:t xml:space="preserve"> </w:t>
            </w:r>
            <w:r>
              <w:rPr>
                <w:rFonts w:hint="eastAsia" w:ascii="Times New Roman" w:hAnsi="Times New Roman" w:cs="Times New Roman"/>
                <w:color w:val="auto"/>
                <w:sz w:val="28"/>
                <w:szCs w:val="28"/>
                <w:highlight w:val="none"/>
                <w:u w:val="single"/>
                <w:lang w:val="en-US" w:eastAsia="zh-CN"/>
              </w:rPr>
              <w:t>20</w:t>
            </w:r>
            <w:r>
              <w:rPr>
                <w:rFonts w:hint="default" w:ascii="Times New Roman" w:hAnsi="Times New Roman" w:cs="Times New Roman"/>
                <w:color w:val="auto"/>
                <w:sz w:val="28"/>
                <w:szCs w:val="28"/>
                <w:highlight w:val="none"/>
              </w:rPr>
              <w:t>万吨</w:t>
            </w:r>
          </w:p>
        </w:tc>
      </w:tr>
      <w:tr w14:paraId="498E0D36">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557A1E">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28F1D7BE">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元/吨    </w:t>
            </w:r>
          </w:p>
        </w:tc>
      </w:tr>
      <w:tr w14:paraId="05035B13">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4F37FA2D">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01AF177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C019D6E">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6285A4B6">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6A0F75F6">
            <w:pPr>
              <w:widowControl/>
              <w:jc w:val="center"/>
              <w:textAlignment w:val="center"/>
              <w:rPr>
                <w:rFonts w:hint="default" w:ascii="Times New Roman" w:hAnsi="Times New Roman" w:cs="Times New Roman"/>
                <w:color w:val="auto"/>
                <w:sz w:val="28"/>
                <w:szCs w:val="28"/>
                <w:highlight w:val="none"/>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D2AAB27">
            <w:pPr>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auto"/>
                <w:sz w:val="28"/>
                <w:szCs w:val="28"/>
                <w:highlight w:val="none"/>
              </w:rPr>
              <w:t>大写：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p>
        </w:tc>
      </w:tr>
    </w:tbl>
    <w:p w14:paraId="056EA3A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78BCBC7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6CA72E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总价为竞买人竞买交易量乘以单价（含税价），精确到小数点后两位；竞买人竞价交易量乘以单价的汇总与总价不一致时以汇总为准，修正总价。</w:t>
      </w:r>
    </w:p>
    <w:p w14:paraId="7274FCC2">
      <w:pPr>
        <w:pStyle w:val="5"/>
        <w:rPr>
          <w:rFonts w:hint="default" w:ascii="Times New Roman" w:hAnsi="Times New Roman" w:eastAsia="华文仿宋" w:cs="Times New Roman"/>
          <w:b/>
          <w:bCs/>
          <w:color w:val="auto"/>
          <w:sz w:val="21"/>
          <w:szCs w:val="21"/>
          <w:highlight w:val="none"/>
          <w:lang w:val="en-US" w:eastAsia="zh-CN"/>
        </w:rPr>
      </w:pPr>
    </w:p>
    <w:p w14:paraId="2258D131">
      <w:pPr>
        <w:pStyle w:val="5"/>
        <w:rPr>
          <w:rFonts w:hint="default" w:ascii="Times New Roman" w:hAnsi="Times New Roman" w:eastAsia="华文仿宋" w:cs="Times New Roman"/>
          <w:b/>
          <w:bCs/>
          <w:color w:val="auto"/>
          <w:sz w:val="21"/>
          <w:szCs w:val="21"/>
          <w:highlight w:val="none"/>
          <w:lang w:val="en-US" w:eastAsia="zh-CN"/>
        </w:rPr>
      </w:pPr>
    </w:p>
    <w:p w14:paraId="32ADB1E1">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eastAsia"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8"/>
          <w:szCs w:val="28"/>
          <w:highlight w:val="none"/>
        </w:rPr>
        <w:t>竞买人（盖章）：</w:t>
      </w:r>
    </w:p>
    <w:p w14:paraId="7D307A8D">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法定代表人（</w:t>
      </w:r>
      <w:r>
        <w:rPr>
          <w:rFonts w:hint="eastAsia"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2ABB727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9A11413">
      <w:pPr>
        <w:jc w:val="center"/>
        <w:rPr>
          <w:color w:val="auto"/>
        </w:rPr>
      </w:pPr>
      <w:r>
        <w:rPr>
          <w:rFonts w:hint="eastAsia" w:ascii="Times New Roman" w:hAnsi="Times New Roman" w:cs="Times New Roman"/>
          <w:b w:val="0"/>
          <w:color w:val="auto"/>
          <w:spacing w:val="-3"/>
          <w:kern w:val="2"/>
          <w:sz w:val="28"/>
          <w:szCs w:val="28"/>
          <w:highlight w:val="none"/>
          <w:lang w:val="en-US" w:eastAsia="zh-CN" w:bidi="ar-SA"/>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D40D30A-394D-4A0F-8F9C-FE445B783BC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25D03C3-F25F-404D-8BAA-77AA0CA2DDDE}"/>
  </w:font>
  <w:font w:name="华文仿宋">
    <w:panose1 w:val="02010600040101010101"/>
    <w:charset w:val="86"/>
    <w:family w:val="auto"/>
    <w:pitch w:val="default"/>
    <w:sig w:usb0="00000287" w:usb1="080F0000" w:usb2="00000000" w:usb3="00000000" w:csb0="0004009F" w:csb1="DFD70000"/>
    <w:embedRegular r:id="rId3" w:fontKey="{2C121651-0385-4819-B6E7-B4FDB6607AA7}"/>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89440C3D-C98D-46B8-87AC-9C5D6A95922D}"/>
  </w:font>
  <w:font w:name="仿宋">
    <w:panose1 w:val="02010609060101010101"/>
    <w:charset w:val="86"/>
    <w:family w:val="auto"/>
    <w:pitch w:val="default"/>
    <w:sig w:usb0="800002BF" w:usb1="38CF7CFA" w:usb2="00000016" w:usb3="00000000" w:csb0="00040001" w:csb1="00000000"/>
    <w:embedRegular r:id="rId5" w:fontKey="{39F31D01-9AEF-49B6-81E4-B2FBD5585C24}"/>
  </w:font>
  <w:font w:name="方正小标宋简体">
    <w:panose1 w:val="03000509000000000000"/>
    <w:charset w:val="86"/>
    <w:family w:val="auto"/>
    <w:pitch w:val="default"/>
    <w:sig w:usb0="00000001" w:usb1="080E0000" w:usb2="00000000" w:usb3="00000000" w:csb0="00040000" w:csb1="00000000"/>
    <w:embedRegular r:id="rId6" w:fontKey="{3911D670-E04A-4F84-8BB2-62114AEBDBB7}"/>
  </w:font>
  <w:font w:name="方正仿宋_GBK">
    <w:panose1 w:val="03000509000000000000"/>
    <w:charset w:val="86"/>
    <w:family w:val="auto"/>
    <w:pitch w:val="default"/>
    <w:sig w:usb0="00000001" w:usb1="080E0000" w:usb2="00000000" w:usb3="00000000" w:csb0="00040000" w:csb1="00000000"/>
    <w:embedRegular r:id="rId7" w:fontKey="{1022B42F-5F93-44B0-A0B4-25C0DD6BF163}"/>
  </w:font>
  <w:font w:name="仿宋_GB2312">
    <w:panose1 w:val="02010609030101010101"/>
    <w:charset w:val="86"/>
    <w:family w:val="auto"/>
    <w:pitch w:val="default"/>
    <w:sig w:usb0="00000001" w:usb1="080E0000" w:usb2="00000000" w:usb3="00000000" w:csb0="00040000" w:csb1="00000000"/>
    <w:embedRegular r:id="rId8" w:fontKey="{203B82D6-4F89-463A-B2DA-C7E05C6BC0B9}"/>
  </w:font>
  <w:font w:name="方正仿宋_GB2312">
    <w:panose1 w:val="02000000000000000000"/>
    <w:charset w:val="86"/>
    <w:family w:val="auto"/>
    <w:pitch w:val="default"/>
    <w:sig w:usb0="A00002BF" w:usb1="184F6CFA" w:usb2="00000012" w:usb3="00000000" w:csb0="00040001" w:csb1="00000000"/>
    <w:embedRegular r:id="rId9" w:fontKey="{D5A35D6B-E561-4052-886C-53813F35B1E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6439A">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B36ED"/>
    <w:rsid w:val="026A5F8E"/>
    <w:rsid w:val="044843C0"/>
    <w:rsid w:val="11E1020D"/>
    <w:rsid w:val="17192246"/>
    <w:rsid w:val="198567EB"/>
    <w:rsid w:val="1AC02084"/>
    <w:rsid w:val="1C0C2B6D"/>
    <w:rsid w:val="20324E29"/>
    <w:rsid w:val="22E76BF9"/>
    <w:rsid w:val="23573B7B"/>
    <w:rsid w:val="280C51BE"/>
    <w:rsid w:val="2A710D92"/>
    <w:rsid w:val="3529682E"/>
    <w:rsid w:val="36F75DA9"/>
    <w:rsid w:val="3E2905DD"/>
    <w:rsid w:val="488C2319"/>
    <w:rsid w:val="49733F68"/>
    <w:rsid w:val="4A580C18"/>
    <w:rsid w:val="5BC56E9D"/>
    <w:rsid w:val="603F7213"/>
    <w:rsid w:val="604B36ED"/>
    <w:rsid w:val="69021942"/>
    <w:rsid w:val="74707A80"/>
    <w:rsid w:val="75DD359D"/>
    <w:rsid w:val="778A570F"/>
    <w:rsid w:val="7A3A3EAF"/>
    <w:rsid w:val="7A532CE0"/>
    <w:rsid w:val="7C416BF2"/>
    <w:rsid w:val="7E8E5B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Body Text Indent 2"/>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8">
    <w:name w:val="Body Text First Indent 2"/>
    <w:next w:val="7"/>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 w:type="paragraph" w:customStyle="1" w:styleId="13">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14">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9838</Words>
  <Characters>10225</Characters>
  <Lines>0</Lines>
  <Paragraphs>0</Paragraphs>
  <TotalTime>68</TotalTime>
  <ScaleCrop>false</ScaleCrop>
  <LinksUpToDate>false</LinksUpToDate>
  <CharactersWithSpaces>11034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2025-04-22T11:29:00Z</dcterms:created>
  <dc:creator>吴彪</dc:creator>
  <cp:lastModifiedBy>WPS_1638150397</cp:lastModifiedBy>
  <dcterms:modified xsi:type="dcterms:W3CDTF">2025-07-04T01:05:17Z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3DB5C8D0C60F49F68F754EAF49B72E16_13</vt:lpwstr>
  </property>
  <property fmtid="{D5CDD505-2E9C-101B-9397-08002B2CF9AE}" pid="4" name="KSOTemplateDocerSaveRecord">
    <vt:lpwstr>eyJoZGlkIjoiNTY2ZGMwZTBjMGMzZDlhMmQxMTQ0Njk2ZTU1NTVhODIiLCJ1c2VySWQiOiIxMjkyNjgxMjcyIn0=</vt:lpwstr>
  </property>
</Properties>
</file>