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auto"/>
          <w:sz w:val="44"/>
          <w:szCs w:val="44"/>
          <w:highlight w:val="none"/>
        </w:rPr>
      </w:pPr>
      <w:bookmarkStart w:id="0" w:name="_Toc30201"/>
    </w:p>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bookmarkEnd w:id="0"/>
    </w:p>
    <w:p w14:paraId="3C6B6F6E">
      <w:pPr>
        <w:bidi w:val="0"/>
        <w:jc w:val="center"/>
        <w:rPr>
          <w:rFonts w:hint="default" w:ascii="Times New Roman" w:hAnsi="Times New Roman" w:eastAsia="方正小标宋_GBK" w:cs="Times New Roman"/>
          <w:color w:val="auto"/>
          <w:sz w:val="32"/>
          <w:szCs w:val="32"/>
          <w:highlight w:val="none"/>
        </w:rPr>
      </w:pPr>
      <w:bookmarkStart w:id="1"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一</w:t>
      </w:r>
      <w:r>
        <w:rPr>
          <w:rFonts w:hint="default" w:ascii="Times New Roman" w:hAnsi="Times New Roman" w:eastAsia="方正小标宋_GBK" w:cs="Times New Roman"/>
          <w:color w:val="auto"/>
          <w:sz w:val="32"/>
          <w:szCs w:val="32"/>
          <w:highlight w:val="none"/>
          <w:lang w:val="en-US" w:eastAsia="zh-CN"/>
        </w:rPr>
        <w:t>期熔剂用白云岩</w:t>
      </w:r>
      <w:r>
        <w:rPr>
          <w:rFonts w:hint="eastAsia" w:ascii="Times New Roman" w:hAnsi="Times New Roman" w:eastAsia="方正小标宋_GBK" w:cs="Times New Roman"/>
          <w:color w:val="auto"/>
          <w:sz w:val="32"/>
          <w:szCs w:val="32"/>
          <w:highlight w:val="none"/>
          <w:lang w:val="en-US" w:eastAsia="zh-CN"/>
        </w:rPr>
        <w:t>混合料</w:t>
      </w:r>
      <w:r>
        <w:rPr>
          <w:rFonts w:hint="default" w:ascii="Times New Roman" w:hAnsi="Times New Roman" w:eastAsia="方正小标宋_GBK" w:cs="Times New Roman"/>
          <w:color w:val="auto"/>
          <w:sz w:val="32"/>
          <w:szCs w:val="32"/>
          <w:highlight w:val="none"/>
        </w:rPr>
        <w:t>竞价销售项目</w:t>
      </w:r>
      <w:bookmarkEnd w:id="1"/>
    </w:p>
    <w:p w14:paraId="01791828">
      <w:pPr>
        <w:pStyle w:val="8"/>
        <w:rPr>
          <w:rFonts w:hint="default" w:ascii="Times New Roman" w:hAnsi="Times New Roman" w:cs="Times New Roman"/>
          <w:color w:val="auto"/>
          <w:highlight w:val="none"/>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 w:name="_Toc10721"/>
      <w:bookmarkStart w:id="3" w:name="_Toc26801"/>
      <w:bookmarkStart w:id="4" w:name="_Toc23529"/>
      <w:bookmarkStart w:id="5" w:name="_Toc16721"/>
      <w:bookmarkStart w:id="6" w:name="_Toc10213"/>
      <w:bookmarkStart w:id="7" w:name="_Toc17282"/>
      <w:bookmarkStart w:id="8" w:name="_Toc26897"/>
      <w:bookmarkStart w:id="9" w:name="_Toc27152"/>
      <w:bookmarkStart w:id="10" w:name="_Toc25941"/>
      <w:r>
        <w:rPr>
          <w:rFonts w:hint="default" w:ascii="Times New Roman" w:hAnsi="Times New Roman" w:eastAsia="方正小标宋_GBK" w:cs="Times New Roman"/>
          <w:b w:val="0"/>
          <w:bCs w:val="0"/>
          <w:color w:val="auto"/>
          <w:sz w:val="72"/>
          <w:szCs w:val="72"/>
          <w:highlight w:val="none"/>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1" w:name="_Toc10956"/>
      <w:bookmarkStart w:id="12" w:name="_Toc27179"/>
      <w:bookmarkStart w:id="13" w:name="_Toc27929"/>
      <w:bookmarkStart w:id="14" w:name="_Toc23779"/>
      <w:bookmarkStart w:id="15" w:name="_Toc6547"/>
      <w:bookmarkStart w:id="16" w:name="_Toc9731"/>
      <w:bookmarkStart w:id="17" w:name="_Toc22796"/>
      <w:bookmarkStart w:id="18" w:name="_Toc14741"/>
      <w:bookmarkStart w:id="19" w:name="_Toc10799"/>
      <w:r>
        <w:rPr>
          <w:rFonts w:hint="default" w:ascii="Times New Roman" w:hAnsi="Times New Roman" w:eastAsia="方正小标宋_GBK" w:cs="Times New Roman"/>
          <w:b w:val="0"/>
          <w:bCs w:val="0"/>
          <w:color w:val="auto"/>
          <w:sz w:val="72"/>
          <w:szCs w:val="72"/>
          <w:highlight w:val="none"/>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0" w:name="_Toc28029"/>
      <w:bookmarkStart w:id="21" w:name="_Toc7443"/>
      <w:bookmarkStart w:id="22" w:name="_Toc1037"/>
      <w:bookmarkStart w:id="23" w:name="_Toc18910"/>
      <w:bookmarkStart w:id="24" w:name="_Toc3558"/>
      <w:bookmarkStart w:id="25" w:name="_Toc5766"/>
      <w:bookmarkStart w:id="26" w:name="_Toc25320"/>
      <w:bookmarkStart w:id="27" w:name="_Toc3459"/>
      <w:bookmarkStart w:id="28" w:name="_Toc11645"/>
      <w:r>
        <w:rPr>
          <w:rFonts w:hint="default" w:ascii="Times New Roman" w:hAnsi="Times New Roman" w:eastAsia="方正小标宋_GBK" w:cs="Times New Roman"/>
          <w:b w:val="0"/>
          <w:bCs w:val="0"/>
          <w:color w:val="auto"/>
          <w:sz w:val="72"/>
          <w:szCs w:val="72"/>
          <w:highlight w:val="none"/>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9" w:name="_Toc16368"/>
      <w:bookmarkStart w:id="30" w:name="_Toc25825"/>
      <w:bookmarkStart w:id="31" w:name="_Toc13286"/>
      <w:bookmarkStart w:id="32" w:name="_Toc6573"/>
      <w:bookmarkStart w:id="33" w:name="_Toc15804"/>
      <w:bookmarkStart w:id="34" w:name="_Toc9436"/>
      <w:bookmarkStart w:id="35" w:name="_Toc22233"/>
      <w:bookmarkStart w:id="36" w:name="_Toc24952"/>
      <w:bookmarkStart w:id="37" w:name="_Toc9412"/>
      <w:r>
        <w:rPr>
          <w:rFonts w:hint="default" w:ascii="Times New Roman" w:hAnsi="Times New Roman" w:eastAsia="方正小标宋_GBK" w:cs="Times New Roman"/>
          <w:b w:val="0"/>
          <w:bCs w:val="0"/>
          <w:color w:val="auto"/>
          <w:sz w:val="72"/>
          <w:szCs w:val="72"/>
          <w:highlight w:val="none"/>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8" w:name="_Toc16521"/>
      <w:bookmarkStart w:id="39" w:name="_Toc2440"/>
      <w:bookmarkStart w:id="40" w:name="_Toc20567"/>
      <w:bookmarkStart w:id="41" w:name="_Toc2580"/>
      <w:bookmarkStart w:id="42" w:name="_Toc30386"/>
      <w:bookmarkStart w:id="43" w:name="_Toc28545"/>
      <w:bookmarkStart w:id="44" w:name="_Toc6247"/>
      <w:bookmarkStart w:id="45" w:name="_Toc16975"/>
      <w:bookmarkStart w:id="46" w:name="_Toc14955"/>
      <w:r>
        <w:rPr>
          <w:rFonts w:hint="default" w:ascii="Times New Roman" w:hAnsi="Times New Roman" w:eastAsia="方正小标宋_GBK" w:cs="Times New Roman"/>
          <w:b w:val="0"/>
          <w:bCs w:val="0"/>
          <w:color w:val="auto"/>
          <w:sz w:val="72"/>
          <w:szCs w:val="72"/>
          <w:highlight w:val="none"/>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auto"/>
          <w:highlight w:val="none"/>
        </w:rPr>
      </w:pPr>
      <w:bookmarkStart w:id="47" w:name="_Toc2415"/>
      <w:bookmarkStart w:id="48" w:name="_Toc24105"/>
      <w:bookmarkStart w:id="49" w:name="_Toc5784"/>
      <w:bookmarkStart w:id="50" w:name="_Toc31051"/>
      <w:bookmarkStart w:id="51" w:name="_Toc64"/>
      <w:bookmarkStart w:id="52" w:name="_Toc9773"/>
      <w:bookmarkStart w:id="53" w:name="_Toc16526"/>
      <w:bookmarkStart w:id="54" w:name="_Toc14381"/>
      <w:bookmarkStart w:id="55" w:name="_Toc18439"/>
      <w:r>
        <w:rPr>
          <w:rFonts w:hint="default" w:ascii="Times New Roman" w:hAnsi="Times New Roman" w:eastAsia="方正小标宋_GBK" w:cs="Times New Roman"/>
          <w:b w:val="0"/>
          <w:bCs w:val="0"/>
          <w:color w:val="auto"/>
          <w:sz w:val="72"/>
          <w:szCs w:val="72"/>
          <w:highlight w:val="none"/>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auto"/>
          <w:highlight w:val="none"/>
        </w:rPr>
      </w:pPr>
    </w:p>
    <w:p w14:paraId="41A24F3E">
      <w:pPr>
        <w:pStyle w:val="8"/>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13</w:t>
      </w:r>
    </w:p>
    <w:p w14:paraId="2FB73139">
      <w:pPr>
        <w:pStyle w:val="8"/>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9</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30日</w:t>
      </w:r>
    </w:p>
    <w:p w14:paraId="1CC50900">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p>
    <w:p w14:paraId="1AD75055">
      <w:pPr>
        <w:jc w:val="center"/>
        <w:rPr>
          <w:rFonts w:hint="default" w:ascii="Times New Roman" w:hAnsi="Times New Roman" w:eastAsia="方正小标宋简体" w:cs="Times New Roman"/>
          <w:b w:val="0"/>
          <w:bCs w:val="0"/>
          <w:color w:val="auto"/>
          <w:sz w:val="36"/>
          <w:szCs w:val="36"/>
          <w:highlight w:val="none"/>
          <w:lang w:eastAsia="zh-CN"/>
        </w:rPr>
      </w:pPr>
      <w:r>
        <w:rPr>
          <w:rFonts w:hint="default" w:ascii="Times New Roman" w:hAnsi="Times New Roman" w:eastAsia="方正小标宋简体" w:cs="Times New Roman"/>
          <w:b w:val="0"/>
          <w:bCs w:val="0"/>
          <w:color w:val="auto"/>
          <w:sz w:val="36"/>
          <w:szCs w:val="36"/>
          <w:highlight w:val="none"/>
          <w:lang w:eastAsia="zh-CN"/>
        </w:rPr>
        <w:br w:type="column"/>
      </w:r>
      <w:r>
        <w:rPr>
          <w:rFonts w:hint="default" w:ascii="Times New Roman" w:hAnsi="Times New Roman" w:eastAsia="方正小标宋简体" w:cs="Times New Roman"/>
          <w:b w:val="0"/>
          <w:bCs w:val="0"/>
          <w:color w:val="auto"/>
          <w:sz w:val="36"/>
          <w:szCs w:val="36"/>
          <w:highlight w:val="none"/>
          <w:lang w:eastAsia="zh-CN"/>
        </w:rPr>
        <w:t>安徽交控东流新材料有限公司</w:t>
      </w:r>
      <w:r>
        <w:rPr>
          <w:rFonts w:hint="default" w:ascii="Times New Roman" w:hAnsi="Times New Roman" w:eastAsia="方正小标宋简体" w:cs="Times New Roman"/>
          <w:b w:val="0"/>
          <w:bCs w:val="0"/>
          <w:color w:val="auto"/>
          <w:sz w:val="36"/>
          <w:szCs w:val="36"/>
          <w:highlight w:val="none"/>
        </w:rPr>
        <w:t>202</w:t>
      </w:r>
      <w:r>
        <w:rPr>
          <w:rFonts w:hint="eastAsia" w:ascii="Times New Roman" w:hAnsi="Times New Roman" w:eastAsia="方正小标宋简体" w:cs="Times New Roman"/>
          <w:b w:val="0"/>
          <w:bCs w:val="0"/>
          <w:color w:val="auto"/>
          <w:sz w:val="36"/>
          <w:szCs w:val="36"/>
          <w:highlight w:val="none"/>
          <w:lang w:val="en-US" w:eastAsia="zh-CN"/>
        </w:rPr>
        <w:t>5</w:t>
      </w:r>
      <w:r>
        <w:rPr>
          <w:rFonts w:hint="default" w:ascii="Times New Roman" w:hAnsi="Times New Roman" w:eastAsia="方正小标宋简体" w:cs="Times New Roman"/>
          <w:b w:val="0"/>
          <w:bCs w:val="0"/>
          <w:color w:val="auto"/>
          <w:sz w:val="36"/>
          <w:szCs w:val="36"/>
          <w:highlight w:val="none"/>
        </w:rPr>
        <w:t>年</w:t>
      </w:r>
      <w:r>
        <w:rPr>
          <w:rFonts w:hint="default" w:ascii="Times New Roman" w:hAnsi="Times New Roman" w:eastAsia="方正小标宋简体" w:cs="Times New Roman"/>
          <w:b w:val="0"/>
          <w:bCs w:val="0"/>
          <w:color w:val="auto"/>
          <w:sz w:val="36"/>
          <w:szCs w:val="36"/>
          <w:highlight w:val="none"/>
          <w:lang w:eastAsia="zh-CN"/>
        </w:rPr>
        <w:t>第</w:t>
      </w:r>
      <w:r>
        <w:rPr>
          <w:rFonts w:hint="eastAsia" w:ascii="Times New Roman" w:hAnsi="Times New Roman" w:eastAsia="方正小标宋简体" w:cs="Times New Roman"/>
          <w:b w:val="0"/>
          <w:bCs w:val="0"/>
          <w:color w:val="auto"/>
          <w:sz w:val="36"/>
          <w:szCs w:val="36"/>
          <w:highlight w:val="none"/>
          <w:lang w:val="en-US" w:eastAsia="zh-CN"/>
        </w:rPr>
        <w:t>一</w:t>
      </w:r>
      <w:r>
        <w:rPr>
          <w:rFonts w:hint="default" w:ascii="Times New Roman" w:hAnsi="Times New Roman" w:eastAsia="方正小标宋简体" w:cs="Times New Roman"/>
          <w:b w:val="0"/>
          <w:bCs w:val="0"/>
          <w:color w:val="auto"/>
          <w:sz w:val="36"/>
          <w:szCs w:val="36"/>
          <w:highlight w:val="none"/>
          <w:lang w:eastAsia="zh-CN"/>
        </w:rPr>
        <w:t>期</w:t>
      </w:r>
    </w:p>
    <w:p w14:paraId="278918A1">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auto"/>
          <w:sz w:val="36"/>
          <w:szCs w:val="36"/>
          <w:highlight w:val="none"/>
          <w:lang w:val="en-US" w:eastAsia="zh-CN"/>
        </w:rPr>
      </w:pPr>
      <w:r>
        <w:rPr>
          <w:rFonts w:hint="default" w:ascii="Times New Roman" w:hAnsi="Times New Roman" w:eastAsia="方正小标宋简体" w:cs="Times New Roman"/>
          <w:b w:val="0"/>
          <w:bCs w:val="0"/>
          <w:color w:val="auto"/>
          <w:sz w:val="36"/>
          <w:szCs w:val="36"/>
          <w:highlight w:val="none"/>
          <w:lang w:val="en-US" w:eastAsia="zh-CN"/>
        </w:rPr>
        <w:t>熔剂用白云岩</w:t>
      </w:r>
      <w:r>
        <w:rPr>
          <w:rFonts w:hint="eastAsia" w:ascii="Times New Roman" w:hAnsi="Times New Roman" w:eastAsia="方正小标宋简体" w:cs="Times New Roman"/>
          <w:b w:val="0"/>
          <w:bCs w:val="0"/>
          <w:color w:val="auto"/>
          <w:sz w:val="36"/>
          <w:szCs w:val="36"/>
          <w:highlight w:val="none"/>
          <w:lang w:val="en-US" w:eastAsia="zh-CN"/>
        </w:rPr>
        <w:t>混合料</w:t>
      </w:r>
      <w:r>
        <w:rPr>
          <w:rFonts w:hint="default" w:ascii="Times New Roman" w:hAnsi="Times New Roman" w:eastAsia="方正小标宋简体" w:cs="Times New Roman"/>
          <w:b w:val="0"/>
          <w:bCs w:val="0"/>
          <w:color w:val="auto"/>
          <w:sz w:val="36"/>
          <w:szCs w:val="36"/>
          <w:highlight w:val="none"/>
          <w:lang w:val="en-US" w:eastAsia="zh-CN"/>
        </w:rPr>
        <w:t>竞价销</w:t>
      </w:r>
      <w:r>
        <w:rPr>
          <w:rFonts w:hint="default" w:ascii="Times New Roman" w:hAnsi="Times New Roman" w:eastAsia="方正小标宋简体" w:cs="Times New Roman"/>
          <w:b w:val="0"/>
          <w:bCs w:val="0"/>
          <w:color w:val="auto"/>
          <w:sz w:val="36"/>
          <w:szCs w:val="36"/>
          <w:highlight w:val="none"/>
        </w:rPr>
        <w:t>售</w:t>
      </w:r>
    </w:p>
    <w:p w14:paraId="477B449F">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336BB951">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254F3175">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各竞买人：</w:t>
      </w:r>
    </w:p>
    <w:p w14:paraId="666AEBA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现对</w:t>
      </w:r>
      <w:r>
        <w:rPr>
          <w:rFonts w:hint="default" w:ascii="Times New Roman" w:hAnsi="Times New Roman" w:eastAsia="仿宋" w:cs="Times New Roman"/>
          <w:color w:val="auto"/>
          <w:sz w:val="28"/>
          <w:szCs w:val="28"/>
          <w:highlight w:val="none"/>
          <w:lang w:eastAsia="zh-CN"/>
        </w:rPr>
        <w:t>安徽交控东流新材料有限公司</w:t>
      </w:r>
      <w:r>
        <w:rPr>
          <w:rFonts w:hint="default" w:ascii="Times New Roman" w:hAnsi="Times New Roman" w:eastAsia="仿宋" w:cs="Times New Roman"/>
          <w:color w:val="auto"/>
          <w:sz w:val="28"/>
          <w:szCs w:val="28"/>
          <w:highlight w:val="none"/>
        </w:rPr>
        <w:t>（以下简称</w:t>
      </w:r>
      <w:r>
        <w:rPr>
          <w:rFonts w:hint="default" w:ascii="Times New Roman" w:hAnsi="Times New Roman" w:eastAsia="仿宋" w:cs="Times New Roman"/>
          <w:color w:val="auto"/>
          <w:sz w:val="28"/>
          <w:szCs w:val="28"/>
          <w:highlight w:val="none"/>
          <w:lang w:eastAsia="zh-CN"/>
        </w:rPr>
        <w:t>东流新材料有限公司</w:t>
      </w:r>
      <w:r>
        <w:rPr>
          <w:rFonts w:hint="default" w:ascii="Times New Roman" w:hAnsi="Times New Roman" w:eastAsia="仿宋" w:cs="Times New Roman"/>
          <w:color w:val="auto"/>
          <w:sz w:val="28"/>
          <w:szCs w:val="28"/>
          <w:highlight w:val="none"/>
        </w:rPr>
        <w:t>或</w:t>
      </w:r>
      <w:r>
        <w:rPr>
          <w:rFonts w:hint="eastAsia" w:ascii="Times New Roman" w:hAnsi="Times New Roman" w:eastAsia="仿宋" w:cs="Times New Roman"/>
          <w:color w:val="auto"/>
          <w:sz w:val="28"/>
          <w:szCs w:val="28"/>
          <w:highlight w:val="none"/>
          <w:lang w:eastAsia="zh-CN"/>
        </w:rPr>
        <w:t>拍卖人</w:t>
      </w:r>
      <w:r>
        <w:rPr>
          <w:rFonts w:hint="default" w:ascii="Times New Roman" w:hAnsi="Times New Roman" w:eastAsia="仿宋" w:cs="Times New Roman"/>
          <w:color w:val="auto"/>
          <w:sz w:val="28"/>
          <w:szCs w:val="28"/>
          <w:highlight w:val="none"/>
        </w:rPr>
        <w:t>）202</w:t>
      </w:r>
      <w:r>
        <w:rPr>
          <w:rFonts w:hint="eastAsia"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年</w:t>
      </w:r>
      <w:r>
        <w:rPr>
          <w:rFonts w:hint="default" w:ascii="Times New Roman" w:hAnsi="Times New Roman" w:eastAsia="仿宋" w:cs="Times New Roman"/>
          <w:color w:val="auto"/>
          <w:sz w:val="28"/>
          <w:szCs w:val="28"/>
          <w:highlight w:val="none"/>
          <w:lang w:eastAsia="zh-CN"/>
        </w:rPr>
        <w:t>第</w:t>
      </w:r>
      <w:r>
        <w:rPr>
          <w:rFonts w:hint="eastAsia" w:ascii="Times New Roman" w:hAnsi="Times New Roman" w:eastAsia="仿宋" w:cs="Times New Roman"/>
          <w:color w:val="auto"/>
          <w:sz w:val="28"/>
          <w:szCs w:val="28"/>
          <w:highlight w:val="none"/>
          <w:lang w:val="en-US" w:eastAsia="zh-CN"/>
        </w:rPr>
        <w:t>一</w:t>
      </w:r>
      <w:r>
        <w:rPr>
          <w:rFonts w:hint="default" w:ascii="Times New Roman" w:hAnsi="Times New Roman" w:eastAsia="仿宋" w:cs="Times New Roman"/>
          <w:color w:val="auto"/>
          <w:sz w:val="28"/>
          <w:szCs w:val="28"/>
          <w:highlight w:val="none"/>
          <w:lang w:eastAsia="zh-CN"/>
        </w:rPr>
        <w:t>期</w:t>
      </w:r>
      <w:r>
        <w:rPr>
          <w:rFonts w:hint="default" w:ascii="Times New Roman" w:hAnsi="Times New Roman" w:eastAsia="仿宋" w:cs="Times New Roman"/>
          <w:color w:val="auto"/>
          <w:sz w:val="28"/>
          <w:szCs w:val="28"/>
          <w:highlight w:val="none"/>
          <w:lang w:val="en-US" w:eastAsia="zh-CN"/>
        </w:rPr>
        <w:t>熔剂用白云岩</w:t>
      </w:r>
      <w:r>
        <w:rPr>
          <w:rFonts w:hint="eastAsia" w:ascii="Times New Roman" w:hAnsi="Times New Roman" w:eastAsia="仿宋" w:cs="Times New Roman"/>
          <w:color w:val="auto"/>
          <w:sz w:val="28"/>
          <w:szCs w:val="28"/>
          <w:highlight w:val="none"/>
          <w:lang w:val="en-US" w:eastAsia="zh-CN"/>
        </w:rPr>
        <w:t>混合料</w:t>
      </w:r>
      <w:r>
        <w:rPr>
          <w:rFonts w:hint="default" w:ascii="Times New Roman" w:hAnsi="Times New Roman" w:eastAsia="仿宋" w:cs="Times New Roman"/>
          <w:color w:val="auto"/>
          <w:sz w:val="28"/>
          <w:szCs w:val="28"/>
          <w:highlight w:val="none"/>
        </w:rPr>
        <w:t>竞价销售项目产品进行公开预售竞价交易，公告如下：</w:t>
      </w:r>
      <w:bookmarkStart w:id="56" w:name="_Toc18278"/>
      <w:bookmarkStart w:id="57" w:name="_Toc23298"/>
    </w:p>
    <w:p w14:paraId="7D8E441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eastAsia" w:ascii="Times New Roman" w:hAnsi="Times New Roman" w:eastAsia="黑体" w:cs="Times New Roman"/>
          <w:color w:val="auto"/>
          <w:kern w:val="2"/>
          <w:sz w:val="28"/>
          <w:szCs w:val="28"/>
          <w:lang w:val="en-US" w:eastAsia="zh-CN" w:bidi="ar-SA"/>
        </w:rPr>
        <w:t>一、</w:t>
      </w:r>
      <w:r>
        <w:rPr>
          <w:rFonts w:hint="default" w:ascii="Times New Roman" w:hAnsi="Times New Roman" w:eastAsia="黑体" w:cs="Times New Roman"/>
          <w:color w:val="auto"/>
          <w:sz w:val="28"/>
          <w:szCs w:val="28"/>
          <w:highlight w:val="none"/>
        </w:rPr>
        <w:t>竞价产品</w:t>
      </w:r>
      <w:bookmarkEnd w:id="56"/>
      <w:bookmarkEnd w:id="57"/>
      <w:r>
        <w:rPr>
          <w:rFonts w:hint="default" w:ascii="Times New Roman" w:hAnsi="Times New Roman" w:eastAsia="黑体" w:cs="Times New Roman"/>
          <w:color w:val="auto"/>
          <w:sz w:val="28"/>
          <w:szCs w:val="28"/>
          <w:highlight w:val="none"/>
          <w:lang w:val="en-US" w:eastAsia="zh-CN"/>
        </w:rPr>
        <w:t>及相关要求</w:t>
      </w:r>
    </w:p>
    <w:tbl>
      <w:tblPr>
        <w:tblStyle w:val="15"/>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50"/>
        <w:gridCol w:w="1162"/>
        <w:gridCol w:w="1452"/>
        <w:gridCol w:w="1954"/>
        <w:gridCol w:w="960"/>
        <w:gridCol w:w="2341"/>
      </w:tblGrid>
      <w:tr w14:paraId="3ABD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5"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162"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452"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954"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960"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2341" w:type="dxa"/>
            <w:shd w:val="clear" w:color="auto" w:fill="auto"/>
            <w:vAlign w:val="center"/>
          </w:tcPr>
          <w:p w14:paraId="2D88A05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706C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熔剂用白云岩混合料</w:t>
            </w:r>
          </w:p>
        </w:tc>
        <w:tc>
          <w:tcPr>
            <w:tcW w:w="1162"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5</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452"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15.00</w:t>
            </w:r>
          </w:p>
        </w:tc>
        <w:tc>
          <w:tcPr>
            <w:tcW w:w="1954" w:type="dxa"/>
            <w:vAlign w:val="center"/>
          </w:tcPr>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both"/>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截至12月31日</w:t>
            </w:r>
          </w:p>
        </w:tc>
        <w:tc>
          <w:tcPr>
            <w:tcW w:w="960"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789F7F0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750.00</w:t>
            </w:r>
          </w:p>
        </w:tc>
      </w:tr>
      <w:tr w14:paraId="2FAAA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DC95B66">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包</w:t>
            </w:r>
          </w:p>
        </w:tc>
        <w:tc>
          <w:tcPr>
            <w:tcW w:w="1550" w:type="dxa"/>
            <w:vAlign w:val="center"/>
          </w:tcPr>
          <w:p w14:paraId="348BC183">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熔剂用白云岩混合料</w:t>
            </w:r>
          </w:p>
        </w:tc>
        <w:tc>
          <w:tcPr>
            <w:tcW w:w="1162" w:type="dxa"/>
            <w:vAlign w:val="center"/>
          </w:tcPr>
          <w:p w14:paraId="63915B36">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5</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452" w:type="dxa"/>
            <w:vAlign w:val="center"/>
          </w:tcPr>
          <w:p w14:paraId="28B40261">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15.00</w:t>
            </w:r>
          </w:p>
        </w:tc>
        <w:tc>
          <w:tcPr>
            <w:tcW w:w="1954" w:type="dxa"/>
            <w:vAlign w:val="center"/>
          </w:tcPr>
          <w:p w14:paraId="5B0957DF">
            <w:pPr>
              <w:pStyle w:val="2"/>
              <w:keepNext w:val="0"/>
              <w:keepLines w:val="0"/>
              <w:pageBreakBefore w:val="0"/>
              <w:widowControl w:val="0"/>
              <w:kinsoku/>
              <w:wordWrap/>
              <w:overflowPunct/>
              <w:topLinePunct w:val="0"/>
              <w:autoSpaceDE/>
              <w:autoSpaceDN/>
              <w:bidi w:val="0"/>
              <w:adjustRightInd/>
              <w:snapToGrid/>
              <w:spacing w:after="0" w:afterLines="0"/>
              <w:ind w:left="23"/>
              <w:jc w:val="both"/>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截至12月31日</w:t>
            </w:r>
          </w:p>
        </w:tc>
        <w:tc>
          <w:tcPr>
            <w:tcW w:w="960" w:type="dxa"/>
            <w:vAlign w:val="center"/>
          </w:tcPr>
          <w:p w14:paraId="54A46C4D">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00689DF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750.00</w:t>
            </w:r>
          </w:p>
        </w:tc>
      </w:tr>
      <w:tr w14:paraId="6DB6B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73C71642">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3</w:t>
            </w:r>
            <w:r>
              <w:rPr>
                <w:rFonts w:hint="default" w:ascii="Times New Roman" w:hAnsi="Times New Roman" w:eastAsia="华文仿宋" w:cs="Times New Roman"/>
                <w:b w:val="0"/>
                <w:bCs w:val="0"/>
                <w:color w:val="auto"/>
                <w:kern w:val="2"/>
                <w:sz w:val="24"/>
                <w:szCs w:val="24"/>
                <w:highlight w:val="none"/>
                <w:lang w:val="en-US" w:eastAsia="zh-CN" w:bidi="ar-SA"/>
              </w:rPr>
              <w:t>包</w:t>
            </w:r>
          </w:p>
        </w:tc>
        <w:tc>
          <w:tcPr>
            <w:tcW w:w="1550" w:type="dxa"/>
            <w:vAlign w:val="center"/>
          </w:tcPr>
          <w:p w14:paraId="121AD92F">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熔剂用白云岩混合料</w:t>
            </w:r>
          </w:p>
        </w:tc>
        <w:tc>
          <w:tcPr>
            <w:tcW w:w="1162" w:type="dxa"/>
            <w:vAlign w:val="center"/>
          </w:tcPr>
          <w:p w14:paraId="3993B39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5</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452" w:type="dxa"/>
            <w:vAlign w:val="center"/>
          </w:tcPr>
          <w:p w14:paraId="07828E8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15.00</w:t>
            </w:r>
          </w:p>
        </w:tc>
        <w:tc>
          <w:tcPr>
            <w:tcW w:w="1954" w:type="dxa"/>
            <w:vAlign w:val="center"/>
          </w:tcPr>
          <w:p w14:paraId="2F47DEC1">
            <w:pPr>
              <w:pStyle w:val="2"/>
              <w:keepNext w:val="0"/>
              <w:keepLines w:val="0"/>
              <w:pageBreakBefore w:val="0"/>
              <w:widowControl w:val="0"/>
              <w:kinsoku/>
              <w:wordWrap/>
              <w:overflowPunct/>
              <w:topLinePunct w:val="0"/>
              <w:autoSpaceDE/>
              <w:autoSpaceDN/>
              <w:bidi w:val="0"/>
              <w:adjustRightInd/>
              <w:snapToGrid/>
              <w:spacing w:after="0" w:afterLines="0"/>
              <w:ind w:left="23"/>
              <w:jc w:val="both"/>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截至12月31日</w:t>
            </w:r>
          </w:p>
        </w:tc>
        <w:tc>
          <w:tcPr>
            <w:tcW w:w="960" w:type="dxa"/>
            <w:vAlign w:val="center"/>
          </w:tcPr>
          <w:p w14:paraId="616E2E13">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444A620F">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eastAsia"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750.00</w:t>
            </w:r>
          </w:p>
        </w:tc>
      </w:tr>
      <w:tr w14:paraId="1295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1" w:hRule="exact"/>
          <w:jc w:val="center"/>
        </w:trPr>
        <w:tc>
          <w:tcPr>
            <w:tcW w:w="10144"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eastAsia="华文仿宋" w:cs="Times New Roman"/>
                <w:b w:val="0"/>
                <w:bCs w:val="0"/>
                <w:color w:val="auto"/>
                <w:kern w:val="2"/>
                <w:sz w:val="24"/>
                <w:szCs w:val="24"/>
                <w:highlight w:val="none"/>
                <w:lang w:val="en-US" w:eastAsia="zh-CN" w:bidi="ar-SA"/>
              </w:rPr>
              <w:t>1.</w:t>
            </w: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3</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各标包标的产品品质无区别。</w:t>
            </w:r>
          </w:p>
          <w:p w14:paraId="2CCA500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highlight w:val="none"/>
                <w:lang w:val="en-US" w:eastAsia="zh-CN"/>
              </w:rPr>
            </w:pPr>
            <w:r>
              <w:rPr>
                <w:rFonts w:hint="eastAsia" w:ascii="Times New Roman" w:hAnsi="Times New Roman" w:cs="Times New Roman"/>
                <w:b w:val="0"/>
                <w:bCs w:val="0"/>
                <w:color w:val="auto"/>
                <w:sz w:val="24"/>
                <w:szCs w:val="24"/>
                <w:highlight w:val="none"/>
                <w:lang w:val="en-US" w:eastAsia="zh-CN"/>
              </w:rPr>
              <w:t>2.</w:t>
            </w:r>
            <w:r>
              <w:rPr>
                <w:rFonts w:hint="default" w:ascii="Times New Roman" w:hAnsi="Times New Roman" w:cs="Times New Roman"/>
                <w:b w:val="0"/>
                <w:bCs w:val="0"/>
                <w:color w:val="auto"/>
                <w:sz w:val="24"/>
                <w:szCs w:val="24"/>
                <w:highlight w:val="none"/>
                <w:lang w:val="en-US" w:eastAsia="zh-CN"/>
              </w:rPr>
              <w:t>本次竞</w:t>
            </w:r>
            <w:r>
              <w:rPr>
                <w:rFonts w:hint="eastAsia" w:ascii="Times New Roman" w:hAnsi="Times New Roman" w:cs="Times New Roman"/>
                <w:b w:val="0"/>
                <w:bCs w:val="0"/>
                <w:color w:val="auto"/>
                <w:sz w:val="24"/>
                <w:szCs w:val="24"/>
                <w:highlight w:val="none"/>
                <w:lang w:val="en-US" w:eastAsia="zh-CN"/>
              </w:rPr>
              <w:t>售</w:t>
            </w:r>
            <w:r>
              <w:rPr>
                <w:rFonts w:hint="default" w:ascii="Times New Roman" w:hAnsi="Times New Roman" w:cs="Times New Roman"/>
                <w:b w:val="0"/>
                <w:bCs w:val="0"/>
                <w:color w:val="auto"/>
                <w:sz w:val="24"/>
                <w:szCs w:val="24"/>
                <w:highlight w:val="none"/>
                <w:lang w:val="en-US" w:eastAsia="zh-CN"/>
              </w:rPr>
              <w:t>不对特定标包报价</w:t>
            </w:r>
            <w:r>
              <w:rPr>
                <w:rFonts w:hint="eastAsia" w:ascii="Times New Roman" w:hAnsi="Times New Roman" w:cs="Times New Roman"/>
                <w:b w:val="0"/>
                <w:bCs w:val="0"/>
                <w:color w:val="auto"/>
                <w:sz w:val="24"/>
                <w:szCs w:val="24"/>
                <w:highlight w:val="none"/>
                <w:lang w:val="en-US" w:eastAsia="zh-CN"/>
              </w:rPr>
              <w:t>，各竞买人可对3个包中的1个或多个包进行现场报价，且在符合规则的情况下，可同时竞得1个或多个包。</w:t>
            </w:r>
            <w:r>
              <w:rPr>
                <w:rFonts w:hint="default" w:ascii="Times New Roman" w:hAnsi="Times New Roman" w:eastAsia="华文仿宋" w:cs="Times New Roman"/>
                <w:b w:val="0"/>
                <w:bCs w:val="0"/>
                <w:color w:val="auto"/>
                <w:kern w:val="2"/>
                <w:sz w:val="24"/>
                <w:szCs w:val="24"/>
                <w:highlight w:val="none"/>
                <w:lang w:val="en-US" w:eastAsia="zh-CN" w:bidi="ar-SA"/>
              </w:rPr>
              <w:t>竞价报价低于竞价底价的，属无效报价。</w:t>
            </w:r>
          </w:p>
          <w:p w14:paraId="11BA263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w:t>
            </w:r>
            <w:r>
              <w:rPr>
                <w:rFonts w:hint="eastAsia" w:ascii="Times New Roman" w:hAnsi="Times New Roman" w:cs="Times New Roman"/>
                <w:b w:val="0"/>
                <w:bCs w:val="0"/>
                <w:color w:val="auto"/>
                <w:sz w:val="24"/>
                <w:szCs w:val="24"/>
                <w:highlight w:val="none"/>
                <w:lang w:val="en-US" w:eastAsia="zh-CN"/>
              </w:rPr>
              <w:t>拍卖人</w:t>
            </w:r>
            <w:r>
              <w:rPr>
                <w:rFonts w:hint="default" w:ascii="Times New Roman" w:hAnsi="Times New Roman" w:cs="Times New Roman"/>
                <w:b w:val="0"/>
                <w:bCs w:val="0"/>
                <w:color w:val="auto"/>
                <w:sz w:val="24"/>
                <w:szCs w:val="24"/>
                <w:highlight w:val="none"/>
                <w:lang w:val="en-US" w:eastAsia="zh-CN"/>
              </w:rPr>
              <w:t>根据填报的竞买单价测算报价总价，按测算总价高低依次获得1~3包的竞得资格，竞买人参与报价视为默认</w:t>
            </w:r>
            <w:r>
              <w:rPr>
                <w:rFonts w:hint="eastAsia" w:ascii="Times New Roman" w:hAnsi="Times New Roman" w:cs="Times New Roman"/>
                <w:b w:val="0"/>
                <w:bCs w:val="0"/>
                <w:color w:val="auto"/>
                <w:sz w:val="24"/>
                <w:szCs w:val="24"/>
                <w:highlight w:val="none"/>
                <w:lang w:val="en-US" w:eastAsia="zh-CN"/>
              </w:rPr>
              <w:t>拍卖人</w:t>
            </w:r>
            <w:r>
              <w:rPr>
                <w:rFonts w:hint="default" w:ascii="Times New Roman" w:hAnsi="Times New Roman" w:cs="Times New Roman"/>
                <w:b w:val="0"/>
                <w:bCs w:val="0"/>
                <w:color w:val="auto"/>
                <w:sz w:val="24"/>
                <w:szCs w:val="24"/>
                <w:highlight w:val="none"/>
                <w:lang w:val="en-US" w:eastAsia="zh-CN"/>
              </w:rPr>
              <w:t>对标包的分配方案。</w:t>
            </w:r>
          </w:p>
          <w:p w14:paraId="0790EC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4.</w:t>
            </w:r>
            <w:r>
              <w:rPr>
                <w:rFonts w:hint="default" w:ascii="Times New Roman" w:hAnsi="Times New Roman" w:eastAsia="华文仿宋" w:cs="Times New Roman"/>
                <w:b w:val="0"/>
                <w:bCs w:val="0"/>
                <w:color w:val="auto"/>
                <w:kern w:val="2"/>
                <w:sz w:val="24"/>
                <w:szCs w:val="24"/>
                <w:highlight w:val="none"/>
                <w:lang w:val="en-US" w:eastAsia="zh-CN" w:bidi="ar-SA"/>
              </w:rPr>
              <w:t>本项目标的产品结算率执行</w:t>
            </w:r>
            <w:r>
              <w:rPr>
                <w:rFonts w:hint="eastAsia" w:ascii="Times New Roman" w:hAnsi="Times New Roman" w:cs="Times New Roman"/>
                <w:b w:val="0"/>
                <w:bCs w:val="0"/>
                <w:color w:val="auto"/>
                <w:kern w:val="2"/>
                <w:sz w:val="24"/>
                <w:szCs w:val="24"/>
                <w:highlight w:val="none"/>
                <w:lang w:val="en-US" w:eastAsia="zh-CN" w:bidi="ar-SA"/>
              </w:rPr>
              <w:t>拍卖人</w:t>
            </w:r>
            <w:r>
              <w:rPr>
                <w:rFonts w:hint="default" w:ascii="Times New Roman" w:hAnsi="Times New Roman" w:eastAsia="华文仿宋" w:cs="Times New Roman"/>
                <w:b w:val="0"/>
                <w:bCs w:val="0"/>
                <w:color w:val="auto"/>
                <w:kern w:val="2"/>
                <w:sz w:val="24"/>
                <w:szCs w:val="24"/>
                <w:highlight w:val="none"/>
                <w:lang w:val="en-US" w:eastAsia="zh-CN" w:bidi="ar-SA"/>
              </w:rPr>
              <w:t>同期销售策略内容</w:t>
            </w:r>
            <w:r>
              <w:rPr>
                <w:rFonts w:hint="eastAsia" w:ascii="Times New Roman" w:hAnsi="Times New Roman" w:cs="Times New Roman"/>
                <w:b w:val="0"/>
                <w:bCs w:val="0"/>
                <w:color w:val="auto"/>
                <w:sz w:val="24"/>
                <w:szCs w:val="24"/>
                <w:highlight w:val="none"/>
                <w:lang w:val="en-US" w:eastAsia="zh-CN"/>
              </w:rPr>
              <w:t>。</w:t>
            </w:r>
          </w:p>
          <w:p w14:paraId="3CC051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highlight w:val="none"/>
                <w:lang w:val="en-US" w:eastAsia="zh-CN"/>
              </w:rPr>
            </w:pPr>
          </w:p>
        </w:tc>
      </w:tr>
    </w:tbl>
    <w:p w14:paraId="0A69BE34">
      <w:pPr>
        <w:pStyle w:val="2"/>
        <w:numPr>
          <w:ilvl w:val="0"/>
          <w:numId w:val="0"/>
        </w:numPr>
        <w:rPr>
          <w:rFonts w:hint="default"/>
          <w:lang w:val="en-US" w:eastAsia="zh-CN"/>
        </w:rPr>
      </w:pPr>
    </w:p>
    <w:p w14:paraId="33C9D53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8" w:name="_Toc27967"/>
      <w:r>
        <w:rPr>
          <w:rFonts w:hint="default" w:ascii="Times New Roman" w:hAnsi="Times New Roman" w:eastAsia="黑体" w:cs="Times New Roman"/>
          <w:b w:val="0"/>
          <w:bCs/>
          <w:color w:val="auto"/>
          <w:sz w:val="28"/>
          <w:szCs w:val="28"/>
          <w:highlight w:val="none"/>
        </w:rPr>
        <w:t>二、产品规格</w:t>
      </w:r>
      <w:bookmarkEnd w:id="58"/>
    </w:p>
    <w:p w14:paraId="2A4A9BF8">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eastAsia" w:ascii="Times New Roman" w:hAnsi="Times New Roman" w:eastAsia="华文仿宋" w:cs="Times New Roman"/>
          <w:color w:val="auto"/>
          <w:spacing w:val="0"/>
          <w:kern w:val="2"/>
          <w:sz w:val="28"/>
          <w:szCs w:val="28"/>
          <w:highlight w:val="none"/>
          <w:lang w:val="en-US" w:eastAsia="zh-CN" w:bidi="ar-SA"/>
        </w:rPr>
        <w:t>熔剂用白云岩</w:t>
      </w:r>
      <w:r>
        <w:rPr>
          <w:rFonts w:hint="default" w:ascii="Times New Roman" w:hAnsi="Times New Roman" w:eastAsia="华文仿宋" w:cs="Times New Roman"/>
          <w:color w:val="auto"/>
          <w:spacing w:val="0"/>
          <w:kern w:val="2"/>
          <w:sz w:val="28"/>
          <w:szCs w:val="28"/>
          <w:highlight w:val="none"/>
          <w:lang w:val="en-US" w:eastAsia="zh-CN" w:bidi="ar-SA"/>
        </w:rPr>
        <w:t>混合料：4%≥SiO2＞1%、泥粉含量＞10%，规格≤100cm；</w:t>
      </w:r>
    </w:p>
    <w:p w14:paraId="20B603E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bCs/>
          <w:color w:val="auto"/>
          <w:spacing w:val="0"/>
          <w:kern w:val="2"/>
          <w:sz w:val="28"/>
          <w:szCs w:val="28"/>
          <w:highlight w:val="none"/>
          <w:lang w:val="en-US" w:eastAsia="zh-CN" w:bidi="ar-SA"/>
        </w:rPr>
      </w:pPr>
      <w:r>
        <w:rPr>
          <w:rFonts w:hint="default" w:ascii="Times New Roman" w:hAnsi="Times New Roman" w:eastAsia="华文仿宋" w:cs="Times New Roman"/>
          <w:b w:val="0"/>
          <w:bCs/>
          <w:color w:val="auto"/>
          <w:spacing w:val="0"/>
          <w:kern w:val="2"/>
          <w:sz w:val="28"/>
          <w:szCs w:val="28"/>
          <w:highlight w:val="none"/>
          <w:lang w:val="en-US" w:eastAsia="zh-CN" w:bidi="ar-SA"/>
        </w:rPr>
        <w:t>本次竞售的料品堆存于柯家村矿堆场内，现场拉运作业须依照</w:t>
      </w:r>
      <w:r>
        <w:rPr>
          <w:rFonts w:hint="eastAsia" w:ascii="Times New Roman" w:hAnsi="Times New Roman" w:cs="Times New Roman"/>
          <w:b w:val="0"/>
          <w:bCs/>
          <w:color w:val="auto"/>
          <w:spacing w:val="0"/>
          <w:kern w:val="2"/>
          <w:sz w:val="28"/>
          <w:szCs w:val="28"/>
          <w:highlight w:val="none"/>
          <w:lang w:val="en-US" w:eastAsia="zh-CN" w:bidi="ar-SA"/>
        </w:rPr>
        <w:t>拍卖人</w:t>
      </w:r>
      <w:r>
        <w:rPr>
          <w:rFonts w:hint="default" w:ascii="Times New Roman" w:hAnsi="Times New Roman" w:eastAsia="华文仿宋" w:cs="Times New Roman"/>
          <w:b w:val="0"/>
          <w:bCs/>
          <w:color w:val="auto"/>
          <w:spacing w:val="0"/>
          <w:kern w:val="2"/>
          <w:sz w:val="28"/>
          <w:szCs w:val="28"/>
          <w:highlight w:val="none"/>
          <w:lang w:val="en-US" w:eastAsia="zh-CN" w:bidi="ar-SA"/>
        </w:rPr>
        <w:t>指定的堆场、运输路径及相关要求规范实施。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挖装过程不得挑拣。</w:t>
      </w:r>
    </w:p>
    <w:p w14:paraId="093840F3">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48265C9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b w:val="0"/>
          <w:bCs/>
          <w:color w:val="auto"/>
          <w:sz w:val="28"/>
          <w:szCs w:val="28"/>
          <w:highlight w:val="none"/>
          <w:lang w:val="en-US" w:eastAsia="zh-CN"/>
        </w:rPr>
      </w:pPr>
      <w:bookmarkStart w:id="59" w:name="_Toc20742"/>
      <w:bookmarkStart w:id="60" w:name="_Toc1739"/>
      <w:r>
        <w:rPr>
          <w:rFonts w:hint="default" w:ascii="Times New Roman" w:hAnsi="Times New Roman" w:cs="Times New Roman"/>
          <w:b w:val="0"/>
          <w:bCs/>
          <w:color w:val="auto"/>
          <w:sz w:val="28"/>
          <w:szCs w:val="28"/>
          <w:highlight w:val="none"/>
          <w:lang w:val="en-US" w:eastAsia="zh-CN"/>
        </w:rPr>
        <w:t>1.计量方式：过磅计量（在</w:t>
      </w:r>
      <w:r>
        <w:rPr>
          <w:rFonts w:hint="eastAsia" w:ascii="Times New Roman" w:hAnsi="Times New Roman" w:cs="Times New Roman"/>
          <w:b w:val="0"/>
          <w:bCs/>
          <w:color w:val="auto"/>
          <w:sz w:val="28"/>
          <w:szCs w:val="28"/>
          <w:highlight w:val="none"/>
          <w:lang w:val="en-US" w:eastAsia="zh-CN"/>
        </w:rPr>
        <w:t>拍卖人</w:t>
      </w:r>
      <w:r>
        <w:rPr>
          <w:rFonts w:hint="default" w:ascii="Times New Roman" w:hAnsi="Times New Roman" w:cs="Times New Roman"/>
          <w:b w:val="0"/>
          <w:bCs/>
          <w:color w:val="auto"/>
          <w:sz w:val="28"/>
          <w:szCs w:val="28"/>
          <w:highlight w:val="none"/>
          <w:lang w:val="en-US" w:eastAsia="zh-CN"/>
        </w:rPr>
        <w:t>磅房处过磅）。</w:t>
      </w:r>
    </w:p>
    <w:p w14:paraId="7591E580">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b w:val="0"/>
          <w:bCs/>
          <w:color w:val="auto"/>
          <w:sz w:val="28"/>
          <w:szCs w:val="28"/>
          <w:highlight w:val="none"/>
          <w:lang w:val="en-US" w:eastAsia="zh-CN"/>
        </w:rPr>
      </w:pPr>
      <w:r>
        <w:rPr>
          <w:rFonts w:hint="default" w:ascii="Times New Roman" w:hAnsi="Times New Roman" w:cs="Times New Roman"/>
          <w:b w:val="0"/>
          <w:bCs/>
          <w:color w:val="auto"/>
          <w:sz w:val="28"/>
          <w:szCs w:val="28"/>
          <w:highlight w:val="none"/>
          <w:lang w:val="en-US" w:eastAsia="zh-CN"/>
        </w:rPr>
        <w:t>2.结算量：以</w:t>
      </w:r>
      <w:r>
        <w:rPr>
          <w:rFonts w:hint="eastAsia" w:ascii="Times New Roman" w:hAnsi="Times New Roman" w:cs="Times New Roman"/>
          <w:b w:val="0"/>
          <w:bCs/>
          <w:color w:val="auto"/>
          <w:sz w:val="28"/>
          <w:szCs w:val="28"/>
          <w:highlight w:val="none"/>
          <w:lang w:val="en-US" w:eastAsia="zh-CN"/>
        </w:rPr>
        <w:t>拍卖人</w:t>
      </w:r>
      <w:r>
        <w:rPr>
          <w:rFonts w:hint="default" w:ascii="Times New Roman" w:hAnsi="Times New Roman" w:cs="Times New Roman"/>
          <w:b w:val="0"/>
          <w:bCs/>
          <w:color w:val="auto"/>
          <w:sz w:val="28"/>
          <w:szCs w:val="28"/>
          <w:highlight w:val="none"/>
          <w:lang w:val="en-US" w:eastAsia="zh-CN"/>
        </w:rPr>
        <w:t>磅房实际过磅数量为准，双方共同签字确认。</w:t>
      </w:r>
    </w:p>
    <w:p w14:paraId="2623EA0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b w:val="0"/>
          <w:bCs/>
          <w:color w:val="auto"/>
          <w:sz w:val="28"/>
          <w:szCs w:val="28"/>
          <w:highlight w:val="none"/>
          <w:lang w:val="en-US" w:eastAsia="zh-CN"/>
        </w:rPr>
      </w:pPr>
      <w:r>
        <w:rPr>
          <w:rFonts w:hint="default" w:ascii="Times New Roman" w:hAnsi="Times New Roman" w:cs="Times New Roman"/>
          <w:b w:val="0"/>
          <w:bCs/>
          <w:color w:val="auto"/>
          <w:sz w:val="28"/>
          <w:szCs w:val="28"/>
          <w:highlight w:val="none"/>
          <w:lang w:val="en-US" w:eastAsia="zh-CN"/>
        </w:rPr>
        <w:t>3.提货地点：池州市东至县安徽交控东流新材料有限公司柯家村矿矿区及周边指定地点。</w:t>
      </w:r>
    </w:p>
    <w:p w14:paraId="1EE1483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b w:val="0"/>
          <w:bCs/>
          <w:color w:val="auto"/>
          <w:sz w:val="28"/>
          <w:szCs w:val="28"/>
          <w:highlight w:val="none"/>
          <w:lang w:val="en-US" w:eastAsia="zh-CN"/>
        </w:rPr>
      </w:pPr>
      <w:r>
        <w:rPr>
          <w:rFonts w:hint="default" w:ascii="Times New Roman" w:hAnsi="Times New Roman" w:cs="Times New Roman"/>
          <w:b w:val="0"/>
          <w:bCs/>
          <w:color w:val="auto"/>
          <w:sz w:val="28"/>
          <w:szCs w:val="28"/>
          <w:highlight w:val="none"/>
          <w:lang w:val="en-US" w:eastAsia="zh-CN"/>
        </w:rPr>
        <w:t>4.提货作业方式：由</w:t>
      </w:r>
      <w:r>
        <w:rPr>
          <w:rFonts w:hint="eastAsia" w:ascii="Times New Roman" w:hAnsi="Times New Roman" w:cs="Times New Roman"/>
          <w:b w:val="0"/>
          <w:bCs/>
          <w:color w:val="auto"/>
          <w:sz w:val="28"/>
          <w:szCs w:val="28"/>
          <w:highlight w:val="none"/>
          <w:lang w:val="en-US" w:eastAsia="zh-CN"/>
        </w:rPr>
        <w:t>拍卖人</w:t>
      </w:r>
      <w:r>
        <w:rPr>
          <w:rFonts w:hint="default" w:ascii="Times New Roman" w:hAnsi="Times New Roman" w:cs="Times New Roman"/>
          <w:b w:val="0"/>
          <w:bCs/>
          <w:color w:val="auto"/>
          <w:sz w:val="28"/>
          <w:szCs w:val="28"/>
          <w:highlight w:val="none"/>
          <w:lang w:val="en-US" w:eastAsia="zh-CN"/>
        </w:rPr>
        <w:t>负责挖装，竞买人采用汽运自提的方式完成料品的交付。</w:t>
      </w:r>
    </w:p>
    <w:p w14:paraId="79B7B39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四、提货须知</w:t>
      </w:r>
      <w:bookmarkEnd w:id="59"/>
      <w:bookmarkEnd w:id="60"/>
    </w:p>
    <w:p w14:paraId="50ED2AD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bookmarkStart w:id="61" w:name="_Toc22088"/>
      <w:bookmarkStart w:id="62" w:name="_Toc11105"/>
      <w:r>
        <w:rPr>
          <w:rFonts w:hint="default" w:ascii="Times New Roman" w:hAnsi="Times New Roman" w:eastAsia="华文仿宋" w:cs="Times New Roman"/>
          <w:b w:val="0"/>
          <w:color w:val="auto"/>
          <w:kern w:val="2"/>
          <w:sz w:val="28"/>
          <w:szCs w:val="28"/>
          <w:highlight w:val="none"/>
          <w:lang w:val="en-US" w:eastAsia="zh-CN" w:bidi="ar-SA"/>
        </w:rPr>
        <w:t>1.竞买人参与此次竞售，视为已对矿山出场道路及矿山范围外运输道路路况进行了充分了解，后期竞买人不得以道路运输能力向</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提出异议。</w:t>
      </w:r>
    </w:p>
    <w:p w14:paraId="59A582B2">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2.竞得人在取得成交通知书之日起2个工作日内，持成交通知书与</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签订购销合同，具体装载时间以</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通知为准。</w:t>
      </w:r>
    </w:p>
    <w:p w14:paraId="54A37A83">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3.矿区内装运及过磅须服从</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统一管理、遵守</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现场管理制度。</w:t>
      </w:r>
    </w:p>
    <w:p w14:paraId="0379992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4.本期对竞得人提货进度履约情况进行考核，具体如下：</w:t>
      </w:r>
    </w:p>
    <w:p w14:paraId="543CC299">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在合同约定的清运时间内：</w:t>
      </w:r>
    </w:p>
    <w:p w14:paraId="7048559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（1）竞得人完成提货量为合同交易量80%（含）以上时，不视为竞得人违约；</w:t>
      </w:r>
    </w:p>
    <w:p w14:paraId="4DF7F972">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2）竞得人完成提货量为合同交易量50%（含）~80%时，视为竞得人违约，须承担迟滞提货违约金，迟滞提货违约金计算标准：（合同交易量-累计提货量）×2元/吨，迟滞违约金从履约保证金中扣除，保证金不足的乙方需补交；</w:t>
      </w:r>
    </w:p>
    <w:p w14:paraId="12184B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724D77FC">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（4）因恶劣天气及特殊情况因素影响，导致清运周期内竞得人未按合同数量清运完成，经甲方同意后清运周期予以顺延。</w:t>
      </w:r>
    </w:p>
    <w:p w14:paraId="0460ED0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5.竞得人须按</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指定路线，将竞价销售产品在</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矿区自建磅房过磅后出场。</w:t>
      </w:r>
    </w:p>
    <w:p w14:paraId="3404EA31">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6.竞价销售产品交易量以双方确认的实际累计过磅量为准（不超过合同标的数量的2%）。</w:t>
      </w:r>
    </w:p>
    <w:p w14:paraId="3AB96D10">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color w:val="auto"/>
          <w:kern w:val="2"/>
          <w:sz w:val="28"/>
          <w:szCs w:val="28"/>
          <w:highlight w:val="none"/>
          <w:lang w:val="en-US" w:eastAsia="zh-CN" w:bidi="ar-SA"/>
        </w:rPr>
      </w:pPr>
      <w:r>
        <w:rPr>
          <w:rFonts w:hint="default" w:ascii="Times New Roman" w:hAnsi="Times New Roman" w:eastAsia="华文仿宋" w:cs="Times New Roman"/>
          <w:b w:val="0"/>
          <w:color w:val="auto"/>
          <w:kern w:val="2"/>
          <w:sz w:val="28"/>
          <w:szCs w:val="28"/>
          <w:highlight w:val="none"/>
          <w:lang w:val="en-US" w:eastAsia="zh-CN" w:bidi="ar-SA"/>
        </w:rPr>
        <w:t>7.竞得人除应遵守国家相关法律法规及行业相关规定外，还应服从</w:t>
      </w:r>
      <w:r>
        <w:rPr>
          <w:rFonts w:hint="eastAsia" w:ascii="Times New Roman" w:hAnsi="Times New Roman" w:cs="Times New Roman"/>
          <w:b w:val="0"/>
          <w:color w:val="auto"/>
          <w:kern w:val="2"/>
          <w:sz w:val="28"/>
          <w:szCs w:val="28"/>
          <w:highlight w:val="none"/>
          <w:lang w:val="en-US" w:eastAsia="zh-CN" w:bidi="ar-SA"/>
        </w:rPr>
        <w:t>拍卖人</w:t>
      </w:r>
      <w:r>
        <w:rPr>
          <w:rFonts w:hint="default" w:ascii="Times New Roman" w:hAnsi="Times New Roman" w:eastAsia="华文仿宋" w:cs="Times New Roman"/>
          <w:b w:val="0"/>
          <w:color w:val="auto"/>
          <w:kern w:val="2"/>
          <w:sz w:val="28"/>
          <w:szCs w:val="28"/>
          <w:highlight w:val="none"/>
          <w:lang w:val="en-US" w:eastAsia="zh-CN" w:bidi="ar-SA"/>
        </w:rPr>
        <w:t>及矿山相关管理规定，竞得人须保证其进入矿区内人员的人身及财产安全，如发生相关责任事故，产生的损失由竞得人自行承担。</w:t>
      </w:r>
    </w:p>
    <w:p w14:paraId="0F05AD30">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1"/>
      <w:bookmarkEnd w:id="62"/>
    </w:p>
    <w:p w14:paraId="6E98FBF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0BE93BE2">
      <w:pPr>
        <w:keepNext w:val="0"/>
        <w:keepLines w:val="0"/>
        <w:pageBreakBefore w:val="0"/>
        <w:widowControl w:val="0"/>
        <w:kinsoku/>
        <w:wordWrap w:val="0"/>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1.竞买人须具有良好的社会信誉，未被国家相关机构列入失信企业或失信人名单的企业法人（以竞价现场“信用中国”网站www.creditchina.gov.cn查询结果为准）。</w:t>
      </w:r>
    </w:p>
    <w:p w14:paraId="21C7601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42A7F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165B9BC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7E262C3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6F063860">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3" w:name="_Toc19331"/>
      <w:bookmarkStart w:id="64" w:name="_Toc6966"/>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3"/>
      <w:bookmarkEnd w:id="64"/>
    </w:p>
    <w:p w14:paraId="531AE96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1F73253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竞售单包</w:t>
      </w:r>
      <w:r>
        <w:rPr>
          <w:rFonts w:hint="default" w:ascii="Times New Roman" w:hAnsi="Times New Roman" w:cs="Times New Roman"/>
          <w:color w:val="auto"/>
          <w:sz w:val="28"/>
          <w:szCs w:val="28"/>
          <w:highlight w:val="none"/>
          <w:lang w:val="en-US" w:eastAsia="zh-CN"/>
        </w:rPr>
        <w:t>竞买保证金为（人民币小写）：</w:t>
      </w:r>
      <w:r>
        <w:rPr>
          <w:rFonts w:hint="eastAsia" w:ascii="Times New Roman" w:hAnsi="Times New Roman" w:cs="Times New Roman"/>
          <w:color w:val="auto"/>
          <w:sz w:val="28"/>
          <w:szCs w:val="28"/>
          <w:highlight w:val="none"/>
          <w:u w:val="single"/>
          <w:lang w:val="en-US" w:eastAsia="zh-CN"/>
        </w:rPr>
        <w:t>37.5</w:t>
      </w:r>
      <w:r>
        <w:rPr>
          <w:rFonts w:hint="default" w:ascii="Times New Roman" w:hAnsi="Times New Roman" w:cs="Times New Roman"/>
          <w:color w:val="auto"/>
          <w:sz w:val="28"/>
          <w:szCs w:val="28"/>
          <w:highlight w:val="none"/>
          <w:lang w:val="en-US" w:eastAsia="zh-CN"/>
        </w:rPr>
        <w:t>万元，</w:t>
      </w:r>
      <w:r>
        <w:rPr>
          <w:rFonts w:hint="eastAsia" w:ascii="Times New Roman" w:hAnsi="Times New Roman" w:eastAsia="华文仿宋" w:cs="Times New Roman"/>
          <w:color w:val="auto"/>
          <w:kern w:val="2"/>
          <w:sz w:val="28"/>
          <w:szCs w:val="28"/>
          <w:highlight w:val="none"/>
          <w:lang w:val="en-US" w:eastAsia="zh-CN" w:bidi="ar-SA"/>
        </w:rPr>
        <w:t>参与多标包报价的，需</w:t>
      </w:r>
      <w:r>
        <w:rPr>
          <w:rFonts w:hint="eastAsia" w:ascii="Times New Roman" w:hAnsi="Times New Roman" w:cs="Times New Roman"/>
          <w:color w:val="auto"/>
          <w:kern w:val="2"/>
          <w:sz w:val="28"/>
          <w:szCs w:val="28"/>
          <w:highlight w:val="none"/>
          <w:lang w:val="en-US" w:eastAsia="zh-CN" w:bidi="ar-SA"/>
        </w:rPr>
        <w:t>分标包</w:t>
      </w:r>
      <w:r>
        <w:rPr>
          <w:rFonts w:hint="eastAsia" w:ascii="Times New Roman" w:hAnsi="Times New Roman" w:eastAsia="华文仿宋" w:cs="Times New Roman"/>
          <w:color w:val="auto"/>
          <w:kern w:val="2"/>
          <w:sz w:val="28"/>
          <w:szCs w:val="28"/>
          <w:highlight w:val="none"/>
          <w:lang w:val="en-US" w:eastAsia="zh-CN" w:bidi="ar-SA"/>
        </w:rPr>
        <w:t>缴纳足额保证金</w:t>
      </w:r>
      <w:r>
        <w:rPr>
          <w:rFonts w:hint="eastAsia" w:ascii="Times New Roman" w:hAnsi="Times New Roman"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拟参加本次竞价的竞买人须在竞价评审时间前将竞买保证金汇至</w:t>
      </w: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p>
    <w:p w14:paraId="03BD04B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保证金交纳账户均如下：</w:t>
      </w:r>
    </w:p>
    <w:p w14:paraId="7D1878B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0D60D53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7374CC3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5" w:name="_Toc2627"/>
      <w:bookmarkStart w:id="66" w:name="_Toc28440"/>
      <w:r>
        <w:rPr>
          <w:rFonts w:hint="default" w:ascii="Times New Roman" w:hAnsi="Times New Roman" w:cs="Times New Roman"/>
          <w:color w:val="auto"/>
          <w:sz w:val="28"/>
          <w:szCs w:val="28"/>
          <w:highlight w:val="none"/>
          <w:lang w:val="en-US" w:eastAsia="zh-CN"/>
        </w:rPr>
        <w:t>中国银行股份有限公司东至支行</w:t>
      </w:r>
    </w:p>
    <w:p w14:paraId="3986732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5"/>
      <w:bookmarkEnd w:id="66"/>
    </w:p>
    <w:p w14:paraId="3CE1845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取得竞得人资格的竞买人签订购销合同后，其竞买保证金自动转为货款。未取得竞得人资格的竞买人，其竞买保证金在确定竞得人之日起5个工作日内予以无息退还。</w:t>
      </w:r>
    </w:p>
    <w:p w14:paraId="6A0EE6D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7" w:name="_Toc30094"/>
      <w:bookmarkStart w:id="68"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7"/>
      <w:bookmarkEnd w:id="68"/>
    </w:p>
    <w:p w14:paraId="011D832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9日15时00分</w:t>
      </w:r>
    </w:p>
    <w:p w14:paraId="2CC6FBE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w:t>
      </w:r>
      <w:r>
        <w:rPr>
          <w:rFonts w:hint="default" w:ascii="Times New Roman" w:hAnsi="Times New Roman" w:cs="Times New Roman"/>
          <w:b w:val="0"/>
          <w:bCs w:val="0"/>
          <w:color w:val="auto"/>
          <w:sz w:val="28"/>
          <w:szCs w:val="28"/>
          <w:highlight w:val="none"/>
          <w:lang w:val="en-US" w:eastAsia="zh-CN"/>
        </w:rPr>
        <w:t>安徽省池州市东至县东流镇安徽交控东流新材料有限公司</w:t>
      </w:r>
      <w:r>
        <w:rPr>
          <w:rFonts w:hint="eastAsia" w:ascii="Times New Roman" w:hAnsi="Times New Roman" w:cs="Times New Roman"/>
          <w:b w:val="0"/>
          <w:bCs w:val="0"/>
          <w:color w:val="auto"/>
          <w:sz w:val="28"/>
          <w:szCs w:val="28"/>
          <w:highlight w:val="none"/>
          <w:lang w:val="en-US" w:eastAsia="zh-CN"/>
        </w:rPr>
        <w:t>三楼</w:t>
      </w:r>
      <w:r>
        <w:rPr>
          <w:rFonts w:hint="default" w:ascii="Times New Roman" w:hAnsi="Times New Roman" w:cs="Times New Roman"/>
          <w:b w:val="0"/>
          <w:bCs w:val="0"/>
          <w:color w:val="auto"/>
          <w:sz w:val="28"/>
          <w:szCs w:val="28"/>
          <w:highlight w:val="none"/>
          <w:lang w:val="en-US" w:eastAsia="zh-CN"/>
        </w:rPr>
        <w:t>会议室。</w:t>
      </w:r>
    </w:p>
    <w:p w14:paraId="6D391473">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9" w:name="_Toc14232"/>
      <w:bookmarkStart w:id="70"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9"/>
      <w:bookmarkEnd w:id="70"/>
    </w:p>
    <w:p w14:paraId="1A4AC90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708CC93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31A8386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A7E8D5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18A8CAC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7A12201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1CAA4C4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4CA0F1B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（7）购买</w:t>
      </w:r>
      <w:r>
        <w:rPr>
          <w:rFonts w:hint="eastAsia" w:ascii="Times New Roman" w:hAnsi="Times New Roman" w:cs="Times New Roman"/>
          <w:color w:val="auto"/>
          <w:sz w:val="28"/>
          <w:szCs w:val="28"/>
          <w:highlight w:val="none"/>
          <w:lang w:val="en-US" w:eastAsia="zh-CN"/>
        </w:rPr>
        <w:t>毛石</w:t>
      </w:r>
      <w:r>
        <w:rPr>
          <w:rFonts w:hint="default" w:ascii="Times New Roman" w:hAnsi="Times New Roman" w:cs="Times New Roman"/>
          <w:color w:val="auto"/>
          <w:sz w:val="28"/>
          <w:szCs w:val="28"/>
          <w:highlight w:val="none"/>
          <w:lang w:val="en-US" w:eastAsia="zh-CN"/>
        </w:rPr>
        <w:t>在本地生产加工的，需提交具有合法生产加工手续的承诺函（详见附件）。</w:t>
      </w:r>
    </w:p>
    <w:p w14:paraId="0BE7433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5D67D99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C1E37E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三楼</w:t>
      </w:r>
      <w:r>
        <w:rPr>
          <w:rFonts w:hint="default" w:ascii="Times New Roman" w:hAnsi="Times New Roman" w:cs="Times New Roman"/>
          <w:color w:val="auto"/>
          <w:sz w:val="28"/>
          <w:szCs w:val="28"/>
          <w:highlight w:val="none"/>
          <w:lang w:val="en-US" w:eastAsia="zh-CN"/>
        </w:rPr>
        <w:t>会议室。</w:t>
      </w:r>
    </w:p>
    <w:p w14:paraId="6D52C7F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E54C5E" w:themeColor="accent6"/>
          <w:sz w:val="28"/>
          <w:szCs w:val="28"/>
          <w:highlight w:val="none"/>
          <w:lang w:val="en-US" w:eastAsia="zh-CN"/>
          <w14:textFill>
            <w14:solidFill>
              <w14:schemeClr w14:val="accent6"/>
            </w14:solidFill>
          </w14:textFill>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年1</w:t>
      </w:r>
      <w:r>
        <w:rPr>
          <w:rFonts w:hint="eastAsia" w:ascii="Times New Roman" w:hAnsi="Times New Roman" w:cs="Times New Roman"/>
          <w:color w:val="auto"/>
          <w:sz w:val="28"/>
          <w:szCs w:val="28"/>
          <w:highlight w:val="none"/>
          <w:lang w:val="en-US" w:eastAsia="zh-CN"/>
        </w:rPr>
        <w:t>0</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部。邮寄地址：安徽省池州市东至县</w:t>
      </w:r>
      <w:r>
        <w:rPr>
          <w:rFonts w:hint="eastAsia" w:ascii="Times New Roman" w:hAnsi="Times New Roman" w:cs="Times New Roman"/>
          <w:color w:val="auto"/>
          <w:sz w:val="28"/>
          <w:szCs w:val="28"/>
          <w:highlight w:val="none"/>
          <w:lang w:val="en-US" w:eastAsia="zh-CN"/>
        </w:rPr>
        <w:t>东流镇</w:t>
      </w:r>
      <w:r>
        <w:rPr>
          <w:rFonts w:hint="default" w:ascii="Times New Roman" w:hAnsi="Times New Roman" w:cs="Times New Roman"/>
          <w:color w:val="auto"/>
          <w:sz w:val="28"/>
          <w:szCs w:val="28"/>
          <w:highlight w:val="none"/>
          <w:lang w:val="en-US" w:eastAsia="zh-CN"/>
        </w:rPr>
        <w:t>安徽交控东流新材料有限公司，签收人：吴先生13156590425/陈女士18712342028。</w:t>
      </w:r>
    </w:p>
    <w:p w14:paraId="0B23545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1" w:name="_Toc738"/>
      <w:bookmarkStart w:id="72"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1"/>
      <w:bookmarkEnd w:id="72"/>
    </w:p>
    <w:p w14:paraId="01C0887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4FCD36F6">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86F8E7A">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3FEE71E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3550D68A">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1E7BD25B">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竞价采取现场开标多轮报价的方式竞价，竞买人递交的报价文件为首次报价，唱标结束后，所有竞标人通过举牌的方式进行第二轮或多轮报价，每次举牌加价不低于0.1元/吨（两种产品可分别加价），直至无人加价为止，评标小组对所有报价进行详细登记并排名，根据单价报价从高到低依次排序。</w:t>
      </w:r>
    </w:p>
    <w:p w14:paraId="16E7C8D9">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207F3168">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w:t>
      </w:r>
      <w:r>
        <w:rPr>
          <w:rFonts w:hint="eastAsia" w:ascii="Times New Roman" w:hAnsi="Times New Roman" w:cs="Times New Roman"/>
          <w:color w:val="auto"/>
          <w:kern w:val="2"/>
          <w:sz w:val="28"/>
          <w:szCs w:val="28"/>
          <w:highlight w:val="none"/>
          <w:lang w:val="en-US" w:eastAsia="zh-CN" w:bidi="ar-SA"/>
        </w:rPr>
        <w:t>单</w:t>
      </w:r>
      <w:r>
        <w:rPr>
          <w:rFonts w:hint="default" w:ascii="Times New Roman" w:hAnsi="Times New Roman" w:cs="Times New Roman"/>
          <w:color w:val="auto"/>
          <w:kern w:val="2"/>
          <w:sz w:val="28"/>
          <w:szCs w:val="28"/>
          <w:highlight w:val="none"/>
          <w:lang w:val="en-US" w:eastAsia="zh-CN" w:bidi="ar-SA"/>
        </w:rPr>
        <w:t>价的高低，公布前3名中标候选人（不满足3人的，以现场实际数量公布候选人名单）。</w:t>
      </w:r>
    </w:p>
    <w:p w14:paraId="1916DF24">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1C05DCA1">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评标结束后，唱标人公布评标结果，并现场答疑，未按要求现场参与竞标结果宣布的，视为默认评审过程及评定结果。现场无疑后，宣布中标人（依次选取报价</w:t>
      </w:r>
      <w:r>
        <w:rPr>
          <w:rFonts w:hint="eastAsia" w:ascii="Times New Roman" w:hAnsi="Times New Roman" w:cs="Times New Roman"/>
          <w:color w:val="auto"/>
          <w:kern w:val="2"/>
          <w:sz w:val="28"/>
          <w:szCs w:val="28"/>
          <w:highlight w:val="none"/>
          <w:lang w:val="en-US" w:eastAsia="zh-CN" w:bidi="ar-SA"/>
        </w:rPr>
        <w:t>单</w:t>
      </w:r>
      <w:r>
        <w:rPr>
          <w:rFonts w:hint="default" w:ascii="Times New Roman" w:hAnsi="Times New Roman" w:cs="Times New Roman"/>
          <w:color w:val="auto"/>
          <w:kern w:val="2"/>
          <w:sz w:val="28"/>
          <w:szCs w:val="28"/>
          <w:highlight w:val="none"/>
          <w:lang w:val="en-US" w:eastAsia="zh-CN" w:bidi="ar-SA"/>
        </w:rPr>
        <w:t>价最高的前三名分别为1~3包的中标人，若出现并列情况，以标书递交登记时间先后顺序选定先登记的为中标人</w:t>
      </w:r>
      <w:r>
        <w:rPr>
          <w:rFonts w:hint="eastAsia" w:ascii="Times New Roman" w:hAnsi="Times New Roman"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）并下发成交通知书。</w:t>
      </w:r>
    </w:p>
    <w:p w14:paraId="7723F8E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3"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3"/>
    </w:p>
    <w:p w14:paraId="2CC3F5D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4" w:name="_Toc14692"/>
      <w:bookmarkStart w:id="75"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w:t>
      </w: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指定账户，未按要求及时支付的，视为弃权，</w:t>
      </w: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52548B1D">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4EF5029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（1）合同签订后（分标包），竞得人的所有竞买保证金直接转为货款，竞得人需在合同签订后的1个工作日内，按以下规则支付预付货款至</w:t>
      </w: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指定账户：</w:t>
      </w:r>
    </w:p>
    <w:p w14:paraId="6A8F3B3E">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③10万吨≤单次竞价标的数量＜50万吨时，货款支付比例为合同价款的</w:t>
      </w: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0%；</w:t>
      </w:r>
    </w:p>
    <w:p w14:paraId="0E9CFD06">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00480A9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w:t>
      </w: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有权停止发货。</w:t>
      </w:r>
    </w:p>
    <w:p w14:paraId="4960C03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4"/>
      <w:bookmarkEnd w:id="75"/>
    </w:p>
    <w:p w14:paraId="523CC8AE">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2CDD7C5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6" w:name="_Toc29890"/>
      <w:bookmarkStart w:id="77" w:name="_Toc5987"/>
      <w:r>
        <w:rPr>
          <w:rFonts w:hint="default" w:ascii="Times New Roman" w:hAnsi="Times New Roman" w:eastAsia="黑体" w:cs="Times New Roman"/>
          <w:b w:val="0"/>
          <w:bCs/>
          <w:color w:val="auto"/>
          <w:sz w:val="28"/>
          <w:szCs w:val="28"/>
          <w:highlight w:val="none"/>
          <w:lang w:val="en-US" w:eastAsia="zh-CN"/>
        </w:rPr>
        <w:t>十二、信息发布</w:t>
      </w:r>
      <w:bookmarkEnd w:id="76"/>
      <w:bookmarkEnd w:id="77"/>
    </w:p>
    <w:p w14:paraId="75DF1A1F">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30日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75E0C1A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8" w:name="_Toc24261"/>
      <w:bookmarkStart w:id="79" w:name="_Toc13468"/>
      <w:r>
        <w:rPr>
          <w:rFonts w:hint="default" w:ascii="Times New Roman" w:hAnsi="Times New Roman" w:eastAsia="黑体" w:cs="Times New Roman"/>
          <w:b w:val="0"/>
          <w:bCs/>
          <w:color w:val="auto"/>
          <w:sz w:val="28"/>
          <w:szCs w:val="28"/>
          <w:highlight w:val="none"/>
          <w:lang w:val="en-US" w:eastAsia="zh-CN"/>
        </w:rPr>
        <w:t>十三、联系方式</w:t>
      </w:r>
      <w:bookmarkEnd w:id="78"/>
      <w:bookmarkEnd w:id="79"/>
    </w:p>
    <w:p w14:paraId="0C74A45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拍卖人</w:t>
      </w:r>
      <w:r>
        <w:rPr>
          <w:rFonts w:hint="default" w:ascii="Times New Roman" w:hAnsi="Times New Roman" w:cs="Times New Roman"/>
          <w:color w:val="auto"/>
          <w:sz w:val="28"/>
          <w:szCs w:val="28"/>
          <w:highlight w:val="none"/>
          <w:lang w:val="en-US" w:eastAsia="zh-CN"/>
        </w:rPr>
        <w:t>：安徽交控东流新材料有限公司；</w:t>
      </w:r>
    </w:p>
    <w:p w14:paraId="0BB0669F">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w:t>
      </w:r>
    </w:p>
    <w:p w14:paraId="25202DAD">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3889C46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80" w:name="_Toc29526"/>
      <w:bookmarkStart w:id="81" w:name="_Toc17017"/>
      <w:r>
        <w:rPr>
          <w:rFonts w:hint="default" w:ascii="Times New Roman" w:hAnsi="Times New Roman" w:eastAsia="黑体" w:cs="Times New Roman"/>
          <w:b w:val="0"/>
          <w:bCs/>
          <w:color w:val="auto"/>
          <w:sz w:val="28"/>
          <w:szCs w:val="28"/>
          <w:highlight w:val="none"/>
          <w:lang w:val="en-US" w:eastAsia="zh-CN"/>
        </w:rPr>
        <w:t>十四、其他</w:t>
      </w:r>
      <w:bookmarkEnd w:id="80"/>
      <w:bookmarkEnd w:id="81"/>
    </w:p>
    <w:p w14:paraId="09284B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合同执行期内，产品价格随行就市，</w:t>
      </w:r>
      <w:r>
        <w:rPr>
          <w:rFonts w:hint="eastAsia" w:ascii="Times New Roman" w:hAnsi="Times New Roman" w:cs="Times New Roman"/>
          <w:b w:val="0"/>
          <w:bCs w:val="0"/>
          <w:color w:val="auto"/>
          <w:sz w:val="28"/>
          <w:szCs w:val="28"/>
          <w:highlight w:val="none"/>
          <w:lang w:val="en-US" w:eastAsia="zh-CN"/>
        </w:rPr>
        <w:t>拍卖人</w:t>
      </w:r>
      <w:r>
        <w:rPr>
          <w:rFonts w:hint="default" w:ascii="Times New Roman" w:hAnsi="Times New Roman" w:cs="Times New Roman"/>
          <w:b w:val="0"/>
          <w:bCs w:val="0"/>
          <w:color w:val="auto"/>
          <w:sz w:val="28"/>
          <w:szCs w:val="28"/>
          <w:highlight w:val="none"/>
          <w:lang w:val="en-US" w:eastAsia="zh-CN"/>
        </w:rPr>
        <w:t>可根据市场变动适当调整销售单价。提前完成清运的，经甲乙双方可协商同意，可在本合同的基础上签订补充协议，对合同数量予以追加，产品销售执行本合同条款。</w:t>
      </w:r>
    </w:p>
    <w:p w14:paraId="22B2171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1ECAA744">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w:t>
      </w:r>
      <w:r>
        <w:rPr>
          <w:rFonts w:hint="eastAsia" w:ascii="Times New Roman" w:hAnsi="Times New Roman" w:cs="Times New Roman"/>
          <w:color w:val="auto"/>
          <w:kern w:val="2"/>
          <w:sz w:val="28"/>
          <w:szCs w:val="28"/>
          <w:highlight w:val="none"/>
          <w:lang w:val="en-US" w:eastAsia="zh-CN" w:bidi="ar-SA"/>
        </w:rPr>
        <w:t>拍卖人</w:t>
      </w:r>
      <w:r>
        <w:rPr>
          <w:rFonts w:hint="default" w:ascii="Times New Roman" w:hAnsi="Times New Roman" w:eastAsia="华文仿宋" w:cs="Times New Roman"/>
          <w:color w:val="auto"/>
          <w:kern w:val="2"/>
          <w:sz w:val="28"/>
          <w:szCs w:val="28"/>
          <w:highlight w:val="none"/>
          <w:lang w:val="en-US" w:eastAsia="zh-CN" w:bidi="ar-SA"/>
        </w:rPr>
        <w:t>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3C8D6D4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26A7E4E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7C7C85F8">
      <w:pPr>
        <w:pStyle w:val="3"/>
        <w:bidi w:val="0"/>
        <w:rPr>
          <w:rFonts w:hint="default" w:ascii="Times New Roman" w:hAnsi="Times New Roman" w:cs="Times New Roman"/>
          <w:color w:val="auto"/>
          <w:highlight w:val="none"/>
          <w:lang w:val="en-US" w:eastAsia="zh-CN"/>
        </w:rPr>
      </w:pPr>
    </w:p>
    <w:p w14:paraId="593F7C85">
      <w:pPr>
        <w:pStyle w:val="3"/>
        <w:bidi w:val="0"/>
        <w:rPr>
          <w:rFonts w:hint="default" w:ascii="Times New Roman" w:hAnsi="Times New Roman" w:cs="Times New Roman"/>
          <w:color w:val="auto"/>
          <w:highlight w:val="none"/>
          <w:lang w:val="en-US" w:eastAsia="zh-CN"/>
        </w:rPr>
      </w:pPr>
    </w:p>
    <w:p w14:paraId="2BE8769A">
      <w:pPr>
        <w:pStyle w:val="3"/>
        <w:bidi w:val="0"/>
        <w:rPr>
          <w:rFonts w:hint="default" w:ascii="Times New Roman" w:hAnsi="Times New Roman" w:cs="Times New Roman"/>
          <w:color w:val="auto"/>
          <w:highlight w:val="none"/>
          <w:lang w:val="en-US" w:eastAsia="zh-CN"/>
        </w:rPr>
      </w:pPr>
    </w:p>
    <w:p w14:paraId="4C6EC2E6">
      <w:pPr>
        <w:pStyle w:val="3"/>
        <w:bidi w:val="0"/>
        <w:rPr>
          <w:rFonts w:hint="default" w:ascii="Times New Roman" w:hAnsi="Times New Roman" w:cs="Times New Roman"/>
          <w:color w:val="auto"/>
          <w:highlight w:val="none"/>
          <w:lang w:val="en-US" w:eastAsia="zh-CN"/>
        </w:rPr>
      </w:pPr>
    </w:p>
    <w:p w14:paraId="3BF2070C">
      <w:pPr>
        <w:pStyle w:val="3"/>
        <w:bidi w:val="0"/>
        <w:rPr>
          <w:rFonts w:hint="default" w:ascii="Times New Roman" w:hAnsi="Times New Roman" w:cs="Times New Roman"/>
          <w:color w:val="auto"/>
          <w:highlight w:val="none"/>
          <w:lang w:val="en-US" w:eastAsia="zh-CN"/>
        </w:rPr>
      </w:pPr>
    </w:p>
    <w:p w14:paraId="716E88A8">
      <w:pPr>
        <w:pStyle w:val="3"/>
        <w:bidi w:val="0"/>
        <w:rPr>
          <w:rFonts w:hint="default" w:ascii="Times New Roman" w:hAnsi="Times New Roman" w:cs="Times New Roman"/>
          <w:color w:val="auto"/>
          <w:highlight w:val="none"/>
          <w:lang w:val="en-US" w:eastAsia="zh-CN"/>
        </w:rPr>
      </w:pPr>
    </w:p>
    <w:p w14:paraId="5E481494">
      <w:pPr>
        <w:pStyle w:val="3"/>
        <w:bidi w:val="0"/>
        <w:rPr>
          <w:rFonts w:hint="default" w:ascii="Times New Roman" w:hAnsi="Times New Roman" w:cs="Times New Roman"/>
          <w:color w:val="auto"/>
          <w:highlight w:val="none"/>
          <w:lang w:val="en-US" w:eastAsia="zh-CN"/>
        </w:rPr>
      </w:pPr>
      <w:bookmarkStart w:id="199" w:name="_GoBack"/>
      <w:bookmarkEnd w:id="199"/>
    </w:p>
    <w:p w14:paraId="7B642908">
      <w:pPr>
        <w:pStyle w:val="3"/>
        <w:bidi w:val="0"/>
        <w:rPr>
          <w:rFonts w:hint="default" w:ascii="Times New Roman" w:hAnsi="Times New Roman" w:cs="Times New Roman"/>
          <w:color w:val="auto"/>
          <w:highlight w:val="none"/>
          <w:lang w:val="en-US" w:eastAsia="zh-CN"/>
        </w:rPr>
      </w:pPr>
    </w:p>
    <w:p w14:paraId="64B772CF">
      <w:pPr>
        <w:pStyle w:val="3"/>
        <w:bidi w:val="0"/>
        <w:rPr>
          <w:rFonts w:hint="default" w:ascii="Times New Roman" w:hAnsi="Times New Roman" w:cs="Times New Roman"/>
          <w:color w:val="auto"/>
          <w:highlight w:val="none"/>
          <w:lang w:val="en-US" w:eastAsia="zh-CN"/>
        </w:rPr>
      </w:pPr>
    </w:p>
    <w:p w14:paraId="35D4F5D3">
      <w:pPr>
        <w:pStyle w:val="3"/>
        <w:bidi w:val="0"/>
        <w:rPr>
          <w:rFonts w:hint="default" w:ascii="Times New Roman" w:hAnsi="Times New Roman" w:cs="Times New Roman"/>
          <w:color w:val="auto"/>
          <w:highlight w:val="none"/>
          <w:lang w:val="en-US" w:eastAsia="zh-CN"/>
        </w:rPr>
      </w:pPr>
    </w:p>
    <w:p w14:paraId="53A0DCCF">
      <w:pPr>
        <w:pStyle w:val="3"/>
        <w:bidi w:val="0"/>
        <w:rPr>
          <w:rFonts w:hint="default" w:ascii="Times New Roman" w:hAnsi="Times New Roman" w:cs="Times New Roman"/>
          <w:color w:val="auto"/>
          <w:highlight w:val="none"/>
          <w:lang w:val="en-US" w:eastAsia="zh-CN"/>
        </w:rPr>
      </w:pPr>
    </w:p>
    <w:p w14:paraId="4650A86A">
      <w:pPr>
        <w:pStyle w:val="3"/>
        <w:bidi w:val="0"/>
        <w:rPr>
          <w:rFonts w:hint="default" w:ascii="Times New Roman" w:hAnsi="Times New Roman" w:cs="Times New Roman"/>
          <w:color w:val="auto"/>
          <w:highlight w:val="none"/>
          <w:lang w:val="en-US" w:eastAsia="zh-CN"/>
        </w:rPr>
      </w:pPr>
    </w:p>
    <w:p w14:paraId="3A4FD934">
      <w:pPr>
        <w:pStyle w:val="3"/>
        <w:bidi w:val="0"/>
        <w:rPr>
          <w:rFonts w:hint="default" w:ascii="Times New Roman" w:hAnsi="Times New Roman" w:cs="Times New Roman"/>
          <w:color w:val="auto"/>
          <w:highlight w:val="none"/>
          <w:lang w:val="en-US" w:eastAsia="zh-CN"/>
        </w:rPr>
      </w:pP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column"/>
      </w: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2" w:name="_Toc19788"/>
      <w:bookmarkStart w:id="83" w:name="_Toc10533"/>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安徽交控东流新材料有限公司熔剂用白云岩购</w:t>
      </w:r>
      <w:r>
        <w:rPr>
          <w:rFonts w:hint="default" w:ascii="Times New Roman" w:hAnsi="Times New Roman" w:eastAsia="方正小标宋简体" w:cs="Times New Roman"/>
          <w:b w:val="0"/>
          <w:bCs w:val="0"/>
          <w:color w:val="auto"/>
          <w:sz w:val="32"/>
          <w:szCs w:val="32"/>
          <w:highlight w:val="none"/>
          <w:lang w:eastAsia="zh-CN"/>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default" w:ascii="Times New Roman" w:hAnsi="Times New Roman" w:cs="Times New Roman"/>
          <w:color w:val="auto"/>
          <w:sz w:val="28"/>
          <w:szCs w:val="28"/>
          <w:highlight w:val="none"/>
          <w:u w:val="single"/>
          <w:lang w:val="en-US" w:eastAsia="zh-CN"/>
        </w:rPr>
        <w:t>熔剂</w:t>
      </w:r>
      <w:r>
        <w:rPr>
          <w:rFonts w:hint="default" w:ascii="Times New Roman" w:hAnsi="Times New Roman" w:eastAsia="华文仿宋" w:cs="Times New Roman"/>
          <w:color w:val="auto"/>
          <w:sz w:val="28"/>
          <w:szCs w:val="28"/>
          <w:highlight w:val="none"/>
          <w:u w:val="single"/>
          <w:lang w:val="en-US" w:eastAsia="zh-CN"/>
        </w:rPr>
        <w:t>用白云岩</w:t>
      </w:r>
      <w:r>
        <w:rPr>
          <w:rFonts w:hint="eastAsia" w:ascii="Times New Roman" w:hAnsi="Times New Roman" w:cs="Times New Roman"/>
          <w:color w:val="auto"/>
          <w:sz w:val="28"/>
          <w:szCs w:val="28"/>
          <w:highlight w:val="none"/>
          <w:u w:val="single"/>
          <w:lang w:val="en-US" w:eastAsia="zh-CN"/>
        </w:rPr>
        <w:t>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4" w:name="_Toc28554_WPSOffice_Level1"/>
      <w:bookmarkStart w:id="85" w:name="_Toc31089"/>
      <w:bookmarkStart w:id="86" w:name="_Toc299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4"/>
      <w:bookmarkEnd w:id="85"/>
      <w:bookmarkEnd w:id="86"/>
    </w:p>
    <w:tbl>
      <w:tblPr>
        <w:tblStyle w:val="14"/>
        <w:tblpPr w:leftFromText="180" w:rightFromText="180" w:vertAnchor="text" w:horzAnchor="page" w:tblpXSpec="center" w:tblpY="91"/>
        <w:tblOverlap w:val="never"/>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251"/>
        <w:gridCol w:w="1100"/>
        <w:gridCol w:w="1412"/>
        <w:gridCol w:w="988"/>
        <w:gridCol w:w="1653"/>
        <w:gridCol w:w="1689"/>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7" w:name="_Toc30212_WPSOffice_Level1"/>
            <w:bookmarkStart w:id="88" w:name="_Toc24138"/>
            <w:bookmarkStart w:id="89" w:name="_Toc6478"/>
            <w:r>
              <w:rPr>
                <w:rFonts w:hint="default" w:ascii="Times New Roman" w:hAnsi="Times New Roman" w:eastAsia="方正仿宋_GBK" w:cs="Times New Roman"/>
                <w:b w:val="0"/>
                <w:bCs w:val="0"/>
                <w:color w:val="auto"/>
                <w:sz w:val="24"/>
                <w:szCs w:val="24"/>
                <w:highlight w:val="none"/>
                <w:lang w:eastAsia="zh-CN"/>
              </w:rPr>
              <w:t>货物名称</w:t>
            </w:r>
          </w:p>
        </w:tc>
        <w:tc>
          <w:tcPr>
            <w:tcW w:w="1251"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1100"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412"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988"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653"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689"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熔剂用白云岩</w:t>
            </w:r>
            <w:r>
              <w:rPr>
                <w:rFonts w:hint="eastAsia" w:ascii="Times New Roman" w:hAnsi="Times New Roman" w:eastAsia="方正仿宋_GBK" w:cs="Times New Roman"/>
                <w:b w:val="0"/>
                <w:bCs w:val="0"/>
                <w:color w:val="auto"/>
                <w:sz w:val="24"/>
                <w:szCs w:val="24"/>
                <w:highlight w:val="none"/>
                <w:lang w:val="en-US" w:eastAsia="zh-CN"/>
              </w:rPr>
              <w:t>混合料</w:t>
            </w:r>
          </w:p>
        </w:tc>
        <w:tc>
          <w:tcPr>
            <w:tcW w:w="1251"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100"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412"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88"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653" w:type="dxa"/>
            <w:noWrap w:val="0"/>
            <w:vAlign w:val="center"/>
          </w:tcPr>
          <w:p w14:paraId="392774A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689"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7941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587" w:type="dxa"/>
            <w:gridSpan w:val="7"/>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0C89BADA">
            <w:pPr>
              <w:keepNext w:val="0"/>
              <w:keepLines w:val="0"/>
              <w:pageBreakBefore w:val="0"/>
              <w:widowControl w:val="0"/>
              <w:numPr>
                <w:ilvl w:val="0"/>
                <w:numId w:val="0"/>
              </w:numPr>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kern w:val="2"/>
                <w:sz w:val="24"/>
                <w:szCs w:val="24"/>
                <w:lang w:val="en-US" w:eastAsia="zh-CN" w:bidi="ar-SA"/>
              </w:rPr>
              <w:t>1.</w:t>
            </w: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甲方出售给乙方的产品堆放于东至县柯家村矿区内，乙方已现场踏勘确认。甲方供应的产品数量为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吨，合同结算时以现场实际过磅运出经双方共同确认的数量为准，最多不得超过合同约定数量的2%。</w:t>
            </w:r>
          </w:p>
          <w:p w14:paraId="5DE4F491">
            <w:pPr>
              <w:pStyle w:val="2"/>
              <w:numPr>
                <w:ilvl w:val="0"/>
                <w:numId w:val="0"/>
              </w:numPr>
              <w:rPr>
                <w:rFonts w:hint="default"/>
                <w:lang w:val="en-US" w:eastAsia="zh-CN"/>
              </w:rPr>
            </w:pPr>
            <w:r>
              <w:rPr>
                <w:rFonts w:hint="eastAsia"/>
                <w:lang w:val="en-US" w:eastAsia="zh-CN"/>
              </w:rPr>
              <w:t xml:space="preserve">  </w:t>
            </w:r>
            <w:r>
              <w:rPr>
                <w:rFonts w:hint="eastAsia" w:ascii="Times New Roman" w:hAnsi="Times New Roman" w:eastAsia="方正仿宋_GBK" w:cs="Times New Roman"/>
                <w:b w:val="0"/>
                <w:bCs w:val="0"/>
                <w:color w:val="auto"/>
                <w:kern w:val="2"/>
                <w:sz w:val="24"/>
                <w:szCs w:val="24"/>
                <w:lang w:val="en-US" w:eastAsia="zh-CN" w:bidi="ar-SA"/>
              </w:rPr>
              <w:t xml:space="preserve"> 2.</w:t>
            </w:r>
            <w:r>
              <w:rPr>
                <w:rFonts w:hint="eastAsia" w:ascii="Times New Roman" w:hAnsi="Times New Roman" w:cs="Times New Roman"/>
                <w:b w:val="0"/>
                <w:bCs w:val="0"/>
                <w:color w:val="auto"/>
                <w:sz w:val="24"/>
                <w:szCs w:val="24"/>
                <w:highlight w:val="none"/>
                <w:lang w:val="en-US" w:eastAsia="zh-CN"/>
              </w:rPr>
              <w:t>本项目标的产品结算率执行拍卖人同期销售策略内容。</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90"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1" w:name="_Toc2028"/>
      <w:bookmarkStart w:id="92" w:name="_Toc29441"/>
      <w:r>
        <w:rPr>
          <w:rFonts w:hint="default" w:ascii="Times New Roman" w:hAnsi="Times New Roman" w:eastAsia="黑体" w:cs="Times New Roman"/>
          <w:b w:val="0"/>
          <w:bCs/>
          <w:color w:val="auto"/>
          <w:sz w:val="28"/>
          <w:szCs w:val="28"/>
          <w:highlight w:val="none"/>
          <w:lang w:val="en-US" w:eastAsia="zh-CN"/>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.交货地点：池州市东至县安徽交控东流新材料有限公司柯家村矿矿区及周边指定地点。</w:t>
      </w:r>
    </w:p>
    <w:p w14:paraId="5B1328D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.交货办法：甲方负责挖装，乙方或乙方委托第三方运输单位到指定地点装车，产品装车过磅后视为交付。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3" w:name="_Toc14216"/>
      <w:bookmarkStart w:id="94" w:name="_Toc7474"/>
      <w:bookmarkStart w:id="95" w:name="_Toc16562_WPSOffice_Level1"/>
      <w:r>
        <w:rPr>
          <w:rFonts w:hint="default" w:ascii="Times New Roman" w:hAnsi="Times New Roman" w:eastAsia="黑体" w:cs="Times New Roman"/>
          <w:b w:val="0"/>
          <w:bCs/>
          <w:color w:val="auto"/>
          <w:sz w:val="28"/>
          <w:szCs w:val="28"/>
          <w:highlight w:val="none"/>
          <w:lang w:val="en-US" w:eastAsia="zh-CN"/>
        </w:rPr>
        <w:t>四、</w:t>
      </w:r>
      <w:bookmarkEnd w:id="93"/>
      <w:bookmarkEnd w:id="94"/>
      <w:bookmarkEnd w:id="95"/>
      <w:r>
        <w:rPr>
          <w:rFonts w:hint="default" w:ascii="Times New Roman" w:hAnsi="Times New Roman" w:eastAsia="黑体" w:cs="Times New Roman"/>
          <w:b w:val="0"/>
          <w:bCs/>
          <w:color w:val="auto"/>
          <w:sz w:val="28"/>
          <w:szCs w:val="28"/>
          <w:highlight w:val="none"/>
          <w:lang w:val="en-US" w:eastAsia="zh-CN"/>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6" w:name="_Toc7885_WPSOffice_Level1"/>
      <w:bookmarkStart w:id="97" w:name="_Toc29128"/>
      <w:bookmarkStart w:id="98" w:name="_Toc15810"/>
      <w:r>
        <w:rPr>
          <w:rFonts w:hint="default" w:ascii="Times New Roman" w:hAnsi="Times New Roman" w:cs="Times New Roman"/>
          <w:b w:val="0"/>
          <w:bCs w:val="0"/>
          <w:color w:val="auto"/>
          <w:sz w:val="28"/>
          <w:szCs w:val="28"/>
          <w:highlight w:val="none"/>
          <w:lang w:val="en-US" w:eastAsia="zh-CN"/>
        </w:rPr>
        <w:t>合同执行期内，产品价格随行就市，</w:t>
      </w:r>
      <w:r>
        <w:rPr>
          <w:rFonts w:hint="eastAsia" w:ascii="Times New Roman" w:hAnsi="Times New Roman" w:cs="Times New Roman"/>
          <w:b w:val="0"/>
          <w:bCs w:val="0"/>
          <w:color w:val="auto"/>
          <w:sz w:val="28"/>
          <w:szCs w:val="28"/>
          <w:highlight w:val="none"/>
          <w:lang w:val="en-US" w:eastAsia="zh-CN"/>
        </w:rPr>
        <w:t>拍卖人</w:t>
      </w:r>
      <w:r>
        <w:rPr>
          <w:rFonts w:hint="default" w:ascii="Times New Roman" w:hAnsi="Times New Roman" w:cs="Times New Roman"/>
          <w:b w:val="0"/>
          <w:bCs w:val="0"/>
          <w:color w:val="auto"/>
          <w:sz w:val="28"/>
          <w:szCs w:val="28"/>
          <w:highlight w:val="none"/>
          <w:lang w:val="en-US" w:eastAsia="zh-CN"/>
        </w:rPr>
        <w:t>可根据市场变动适当调整销售单价。提前完成清运的，经甲乙双方可协商同意，可在本合同的基础上签订补充协议，对合同数量予以追加，产品销售执行本合同条款。</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9" w:name="_Toc12153_WPSOffice_Level1"/>
      <w:bookmarkStart w:id="100" w:name="_Toc2931"/>
      <w:bookmarkStart w:id="101" w:name="_Toc31267"/>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2.货款的支付：合同签订后，乙方之前缴纳的竞买保证金直接转为货款，乙方需在合同签订后1个工作日内支付合同金额18%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w:t>
      </w:r>
      <w:r>
        <w:rPr>
          <w:rFonts w:hint="eastAsia"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en-US" w:eastAsia="zh-CN"/>
        </w:rPr>
        <w:t>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9"/>
      <w:bookmarkEnd w:id="100"/>
      <w:bookmarkEnd w:id="101"/>
    </w:p>
    <w:p w14:paraId="3C11D22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2" w:name="_Toc8309"/>
      <w:bookmarkStart w:id="103" w:name="_Toc18090"/>
      <w:bookmarkStart w:id="104" w:name="_Toc10413_WPSOffice_Level1"/>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2.乙方</w:t>
      </w:r>
      <w:r>
        <w:rPr>
          <w:rFonts w:hint="default" w:ascii="Times New Roman" w:hAnsi="Times New Roman" w:cs="Times New Roman"/>
          <w:color w:val="auto"/>
          <w:sz w:val="28"/>
          <w:szCs w:val="28"/>
          <w:highlight w:val="none"/>
          <w:lang w:val="en-US" w:eastAsia="zh-CN"/>
        </w:rPr>
        <w:t>完成提货量为合同交易量50%（含）~80%时，视为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3.乙方</w:t>
      </w:r>
      <w:r>
        <w:rPr>
          <w:rFonts w:hint="default" w:ascii="Times New Roman" w:hAnsi="Times New Roman" w:cs="Times New Roman"/>
          <w:color w:val="auto"/>
          <w:sz w:val="28"/>
          <w:szCs w:val="28"/>
          <w:highlight w:val="none"/>
          <w:lang w:val="en-US" w:eastAsia="zh-CN"/>
        </w:rPr>
        <w:t>完成提货量为合同交易量50%以下时，视为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严重违约，须承担迟滞提货违约金，迟滞提货违约金计算标准：（合同交易量-累计提货量）×3元/吨，同时将其列入黑名单，限制其2个月内不得参与公司开展的其他销售项目；</w:t>
      </w:r>
    </w:p>
    <w:p w14:paraId="51EBB4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4E1394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40CD86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BC2F89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0D35AC9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21D924C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val="0"/>
          <w:bCs w:val="0"/>
          <w:color w:val="000000" w:themeColor="text1"/>
          <w:sz w:val="28"/>
          <w:szCs w:val="28"/>
          <w:highlight w:val="none"/>
          <w14:textFill>
            <w14:solidFill>
              <w14:schemeClr w14:val="tx1"/>
            </w14:solidFill>
          </w14:textFill>
        </w:rPr>
        <w:t>选装</w:t>
      </w:r>
      <w:r>
        <w:rPr>
          <w:rFonts w:hint="default" w:ascii="Times New Roman" w:hAnsi="Times New Roman" w:cs="Times New Roman"/>
          <w:b w:val="0"/>
          <w:bCs w:val="0"/>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8"/>
          <w:szCs w:val="28"/>
          <w:highlight w:val="none"/>
          <w14:textFill>
            <w14:solidFill>
              <w14:schemeClr w14:val="tx1"/>
            </w14:solidFill>
          </w14:textFill>
        </w:rPr>
        <w:t>拒装</w:t>
      </w:r>
      <w:r>
        <w:rPr>
          <w:rFonts w:hint="default" w:ascii="Times New Roman" w:hAnsi="Times New Roman" w:cs="Times New Roman"/>
          <w:b w:val="0"/>
          <w:bCs w:val="0"/>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3A8AC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5" w:name="_Toc30423_WPSOffice_Level1"/>
      <w:bookmarkStart w:id="106" w:name="_Toc2172"/>
      <w:bookmarkStart w:id="107" w:name="_Toc18847"/>
      <w:r>
        <w:rPr>
          <w:rFonts w:hint="default" w:ascii="Times New Roman" w:hAnsi="Times New Roman" w:eastAsia="黑体" w:cs="Times New Roman"/>
          <w:b w:val="0"/>
          <w:bCs/>
          <w:color w:val="auto"/>
          <w:sz w:val="28"/>
          <w:szCs w:val="28"/>
          <w:highlight w:val="none"/>
          <w:lang w:val="en-US" w:eastAsia="zh-CN"/>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8" w:name="_Toc11846"/>
      <w:bookmarkStart w:id="109" w:name="_Toc1089"/>
      <w:bookmarkStart w:id="110" w:name="_Toc27827_WPSOffice_Level1"/>
      <w:r>
        <w:rPr>
          <w:rFonts w:hint="default" w:ascii="Times New Roman" w:hAnsi="Times New Roman" w:eastAsia="黑体" w:cs="Times New Roman"/>
          <w:b w:val="0"/>
          <w:bCs/>
          <w:color w:val="auto"/>
          <w:sz w:val="28"/>
          <w:szCs w:val="28"/>
          <w:highlight w:val="none"/>
          <w:lang w:val="en-US" w:eastAsia="zh-CN"/>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1"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u w:val="single"/>
          <w:lang w:val="en-US" w:eastAsia="zh-CN"/>
        </w:rPr>
        <w:t>安徽省池州市东至县东流镇</w:t>
      </w:r>
      <w:r>
        <w:rPr>
          <w:rFonts w:hint="eastAsia" w:ascii="Times New Roman" w:hAnsi="Times New Roman" w:cs="Times New Roman"/>
          <w:color w:val="auto"/>
          <w:sz w:val="28"/>
          <w:szCs w:val="28"/>
          <w:highlight w:val="none"/>
          <w:u w:val="single"/>
          <w:lang w:val="en-US" w:eastAsia="zh-CN"/>
        </w:rPr>
        <w:t>安徽交控东流新材料有限公司三楼市场营销部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2" w:name="_Toc26354"/>
      <w:bookmarkStart w:id="113" w:name="_Toc21970"/>
      <w:r>
        <w:rPr>
          <w:rFonts w:hint="default" w:ascii="Times New Roman" w:hAnsi="Times New Roman" w:eastAsia="黑体" w:cs="Times New Roman"/>
          <w:b w:val="0"/>
          <w:bCs/>
          <w:color w:val="auto"/>
          <w:sz w:val="28"/>
          <w:szCs w:val="28"/>
          <w:highlight w:val="none"/>
          <w:lang w:val="en-US" w:eastAsia="zh-CN"/>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0A44B832">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cs="Times New Roman"/>
                <w:color w:val="auto"/>
                <w:sz w:val="28"/>
                <w:szCs w:val="28"/>
                <w:highlight w:val="none"/>
                <w:lang w:val="en-US" w:eastAsia="zh-CN"/>
              </w:rPr>
              <w:t>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r>
              <w:rPr>
                <w:rFonts w:hint="eastAsia" w:ascii="Times New Roman" w:hAnsi="Times New Roman" w:cs="Times New Roman"/>
                <w:color w:val="auto"/>
                <w:sz w:val="28"/>
                <w:szCs w:val="28"/>
                <w:highlight w:val="none"/>
                <w:lang w:val="en-US" w:eastAsia="zh-CN"/>
              </w:rPr>
              <w:t xml:space="preserve">      </w:t>
            </w:r>
          </w:p>
          <w:p w14:paraId="16EB370B">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51CC52FC">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45FD0CE8">
            <w:pPr>
              <w:pStyle w:val="2"/>
              <w:rPr>
                <w:rFonts w:hint="default" w:ascii="Times New Roman" w:hAnsi="Times New Roman" w:cs="Times New Roman"/>
                <w:highlight w:val="none"/>
              </w:rPr>
            </w:pPr>
          </w:p>
          <w:p w14:paraId="52649125">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开户银行：中国银行股份有限公司东至支行</w:t>
            </w:r>
          </w:p>
          <w:p w14:paraId="5C268E2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银行账号：188770253881</w:t>
            </w:r>
          </w:p>
          <w:p w14:paraId="7BA6E0B7">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37A55031">
            <w:pPr>
              <w:bidi w:val="0"/>
              <w:ind w:firstLine="840" w:firstLineChars="300"/>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rPr>
              <w:t>乙方（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cs="Times New Roman"/>
                <w:color w:val="auto"/>
                <w:sz w:val="28"/>
                <w:szCs w:val="28"/>
                <w:highlight w:val="none"/>
                <w:lang w:val="en-US" w:eastAsia="zh-CN"/>
              </w:rPr>
              <w:t>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2821E42A">
            <w:pPr>
              <w:bidi w:val="0"/>
              <w:ind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EC5742">
            <w:pPr>
              <w:bidi w:val="0"/>
              <w:ind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333840D8">
            <w:pPr>
              <w:pStyle w:val="2"/>
              <w:rPr>
                <w:rFonts w:hint="default" w:ascii="Times New Roman" w:hAnsi="Times New Roman" w:cs="Times New Roman"/>
                <w:highlight w:val="none"/>
              </w:rPr>
            </w:pPr>
          </w:p>
          <w:p w14:paraId="12F4FBBB">
            <w:pPr>
              <w:bidi w:val="0"/>
              <w:ind w:firstLine="840" w:firstLineChars="300"/>
              <w:rPr>
                <w:rFonts w:hint="default" w:ascii="Times New Roman" w:hAnsi="Times New Roman" w:cs="Times New Roman"/>
                <w:color w:val="auto"/>
                <w:sz w:val="28"/>
                <w:szCs w:val="28"/>
                <w:highlight w:val="none"/>
                <w:lang w:val="en-US" w:eastAsia="zh-CN"/>
              </w:rPr>
            </w:pPr>
          </w:p>
          <w:p w14:paraId="4731A13B">
            <w:pPr>
              <w:bidi w:val="0"/>
              <w:ind w:firstLine="840" w:firstLineChars="30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78E917E7">
            <w:pPr>
              <w:bidi w:val="0"/>
              <w:ind w:firstLine="840" w:firstLineChars="30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25DE6919">
            <w:pPr>
              <w:bidi w:val="0"/>
              <w:ind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0699FF12">
      <w:pPr>
        <w:rPr>
          <w:rFonts w:hint="default" w:ascii="Times New Roman" w:hAnsi="Times New Roman" w:eastAsia="仿宋_GB2312" w:cs="Times New Roman"/>
          <w:color w:val="auto"/>
          <w:sz w:val="28"/>
          <w:szCs w:val="28"/>
          <w:highlight w:val="none"/>
        </w:rPr>
      </w:pPr>
      <w:bookmarkStart w:id="114" w:name="_Toc31823"/>
      <w:bookmarkStart w:id="115" w:name="_Toc15575"/>
      <w:bookmarkStart w:id="116" w:name="_Toc12240"/>
      <w:r>
        <w:rPr>
          <w:rFonts w:hint="default" w:ascii="Times New Roman" w:hAnsi="Times New Roman" w:eastAsia="仿宋_GB2312" w:cs="Times New Roman"/>
          <w:color w:val="auto"/>
          <w:sz w:val="28"/>
          <w:szCs w:val="28"/>
          <w:highlight w:val="none"/>
        </w:rPr>
        <w:br w:type="page"/>
      </w:r>
    </w:p>
    <w:p w14:paraId="56952382">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7" w:name="_Toc3145"/>
      <w:bookmarkStart w:id="118" w:name="_Toc11222"/>
      <w:bookmarkStart w:id="119" w:name="_Toc5178"/>
      <w:bookmarkStart w:id="120" w:name="_Toc27029"/>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1" w:name="_Toc16620"/>
      <w:bookmarkStart w:id="122" w:name="_Toc2456"/>
      <w:bookmarkStart w:id="123" w:name="_Toc14447"/>
      <w:bookmarkStart w:id="124" w:name="_Toc32103"/>
      <w:r>
        <w:rPr>
          <w:rFonts w:hint="default" w:ascii="Times New Roman" w:hAnsi="Times New Roman" w:eastAsia="黑体" w:cs="Times New Roman"/>
          <w:b w:val="0"/>
          <w:bCs w:val="0"/>
          <w:color w:val="auto"/>
          <w:sz w:val="28"/>
          <w:szCs w:val="28"/>
          <w:highlight w:val="none"/>
          <w:lang w:val="zh-TW" w:eastAsia="zh-CN"/>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5" w:name="_Toc8726"/>
      <w:bookmarkStart w:id="126" w:name="_Toc25165"/>
      <w:bookmarkStart w:id="127" w:name="_Toc7587"/>
      <w:bookmarkStart w:id="128" w:name="_Toc314"/>
      <w:r>
        <w:rPr>
          <w:rFonts w:hint="default" w:ascii="Times New Roman" w:hAnsi="Times New Roman" w:eastAsia="黑体" w:cs="Times New Roman"/>
          <w:b w:val="0"/>
          <w:bCs w:val="0"/>
          <w:color w:val="auto"/>
          <w:sz w:val="28"/>
          <w:szCs w:val="28"/>
          <w:highlight w:val="none"/>
          <w:lang w:val="zh-TW" w:eastAsia="zh-CN"/>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9" w:name="_Toc3042"/>
      <w:bookmarkStart w:id="130" w:name="_Toc5553"/>
      <w:bookmarkStart w:id="131" w:name="_Toc15109"/>
      <w:bookmarkStart w:id="132" w:name="_Toc17857"/>
      <w:r>
        <w:rPr>
          <w:rFonts w:hint="default" w:ascii="Times New Roman" w:hAnsi="Times New Roman" w:eastAsia="黑体" w:cs="Times New Roman"/>
          <w:b w:val="0"/>
          <w:bCs w:val="0"/>
          <w:color w:val="auto"/>
          <w:sz w:val="28"/>
          <w:szCs w:val="28"/>
          <w:highlight w:val="none"/>
          <w:lang w:val="zh-TW" w:eastAsia="zh-CN"/>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3" w:name="_Toc7846"/>
      <w:bookmarkStart w:id="134" w:name="_Toc6711"/>
      <w:bookmarkStart w:id="135" w:name="_Toc8672"/>
      <w:bookmarkStart w:id="136" w:name="_Toc18475"/>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3"/>
      <w:bookmarkEnd w:id="134"/>
      <w:bookmarkEnd w:id="135"/>
      <w:bookmarkEnd w:id="136"/>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blPrEx>
          <w:tblCellMar>
            <w:top w:w="0" w:type="dxa"/>
            <w:left w:w="108" w:type="dxa"/>
            <w:bottom w:w="0" w:type="dxa"/>
            <w:right w:w="108" w:type="dxa"/>
          </w:tblCellMar>
        </w:tblPrEx>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0E1B4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4283B296">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B5B277A">
            <w:pPr>
              <w:adjustRightInd w:val="0"/>
              <w:snapToGrid w:val="0"/>
              <w:spacing w:line="600" w:lineRule="atLeast"/>
              <w:ind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2C9FDFA5">
            <w:pPr>
              <w:adjustRightInd w:val="0"/>
              <w:snapToGrid w:val="0"/>
              <w:spacing w:line="600" w:lineRule="atLeast"/>
              <w:ind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19480C3D">
            <w:pPr>
              <w:adjustRightInd w:val="0"/>
              <w:snapToGrid w:val="0"/>
              <w:spacing w:line="600" w:lineRule="atLeast"/>
              <w:ind w:firstLine="560" w:firstLineChars="200"/>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E9A6C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8905F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47D7C8B">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F52BA35">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F676C98">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11C4407">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7C43A6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8E508B3">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CEFD7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C54E7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85AAC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A04F37C">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3AD0BF6">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05FEDC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5870E0C">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6C14A2AF">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476C5558">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7" w:name="_Toc25476"/>
      <w:bookmarkStart w:id="138" w:name="_Toc22252"/>
      <w:bookmarkStart w:id="139" w:name="_Toc7018"/>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0" w:name="_Toc296"/>
      <w:bookmarkStart w:id="141" w:name="_Toc23146"/>
      <w:bookmarkStart w:id="142" w:name="_Toc27371"/>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3" w:name="_Toc15370"/>
      <w:bookmarkStart w:id="144" w:name="_Toc9974"/>
      <w:bookmarkStart w:id="145" w:name="_Toc30077"/>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6" w:name="_Toc15060"/>
      <w:bookmarkStart w:id="147" w:name="_Toc16271"/>
      <w:bookmarkStart w:id="148" w:name="_Toc7923"/>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9" w:name="_Toc1341"/>
      <w:bookmarkStart w:id="150" w:name="_Toc29656"/>
      <w:bookmarkStart w:id="151" w:name="_Toc208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2" w:name="_Toc10036"/>
      <w:bookmarkStart w:id="153" w:name="_Toc15099"/>
      <w:bookmarkStart w:id="154" w:name="_Toc12419"/>
      <w:r>
        <w:rPr>
          <w:rFonts w:hint="default" w:ascii="Times New Roman" w:hAnsi="Times New Roman" w:eastAsia="黑体" w:cs="Times New Roman"/>
          <w:b w:val="0"/>
          <w:bCs/>
          <w:color w:val="auto"/>
          <w:sz w:val="28"/>
          <w:szCs w:val="28"/>
          <w:highlight w:val="none"/>
          <w:lang w:val="zh-TW" w:eastAsia="zh-CN"/>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5" w:name="_Toc6161"/>
      <w:bookmarkStart w:id="156" w:name="_Toc17398"/>
      <w:bookmarkStart w:id="157" w:name="_Toc26034"/>
      <w:r>
        <w:rPr>
          <w:rFonts w:hint="default" w:ascii="Times New Roman" w:hAnsi="Times New Roman" w:eastAsia="黑体" w:cs="Times New Roman"/>
          <w:b w:val="0"/>
          <w:bCs/>
          <w:color w:val="auto"/>
          <w:sz w:val="28"/>
          <w:szCs w:val="28"/>
          <w:highlight w:val="none"/>
          <w:lang w:val="zh-TW" w:eastAsia="zh-CN"/>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2CBBF6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590EE72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FB81101">
            <w:pPr>
              <w:adjustRightInd w:val="0"/>
              <w:snapToGrid w:val="0"/>
              <w:spacing w:line="600" w:lineRule="atLeast"/>
              <w:ind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764DD70">
            <w:pPr>
              <w:adjustRightInd w:val="0"/>
              <w:snapToGrid w:val="0"/>
              <w:spacing w:line="600" w:lineRule="atLeast"/>
              <w:ind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ACA01C">
            <w:pPr>
              <w:adjustRightInd w:val="0"/>
              <w:snapToGrid w:val="0"/>
              <w:spacing w:line="600" w:lineRule="atLeast"/>
              <w:ind w:firstLine="560" w:firstLineChars="200"/>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68219C3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6A7F45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EAF5682">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674F5346">
      <w:pPr>
        <w:pStyle w:val="3"/>
        <w:bidi w:val="0"/>
        <w:rPr>
          <w:rFonts w:hint="default" w:ascii="Times New Roman" w:hAnsi="Times New Roman" w:eastAsia="黑体" w:cs="Times New Roman"/>
          <w:b w:val="0"/>
          <w:bCs w:val="0"/>
          <w:color w:val="auto"/>
          <w:sz w:val="32"/>
          <w:szCs w:val="28"/>
          <w:highlight w:val="none"/>
        </w:rPr>
      </w:pPr>
      <w:bookmarkStart w:id="158" w:name="_Toc2917"/>
      <w:r>
        <w:rPr>
          <w:rFonts w:hint="default" w:ascii="Times New Roman" w:hAnsi="Times New Roman" w:eastAsia="黑体" w:cs="Times New Roman"/>
          <w:b w:val="0"/>
          <w:bCs w:val="0"/>
          <w:color w:val="auto"/>
          <w:sz w:val="32"/>
          <w:szCs w:val="28"/>
          <w:highlight w:val="none"/>
        </w:rPr>
        <w:t>第三章 竞价文件</w:t>
      </w:r>
      <w:bookmarkEnd w:id="158"/>
    </w:p>
    <w:p w14:paraId="4DA61664">
      <w:pPr>
        <w:bidi w:val="0"/>
        <w:jc w:val="center"/>
        <w:rPr>
          <w:rFonts w:hint="default" w:ascii="Times New Roman" w:hAnsi="Times New Roman" w:cs="Times New Roman"/>
          <w:b/>
          <w:bCs/>
          <w:color w:val="auto"/>
          <w:sz w:val="30"/>
          <w:szCs w:val="30"/>
          <w:highlight w:val="none"/>
          <w:lang w:val="en-US" w:eastAsia="zh-CN"/>
        </w:rPr>
      </w:pPr>
    </w:p>
    <w:p w14:paraId="65B99F7D">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1470FEE1">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一</w:t>
      </w:r>
      <w:r>
        <w:rPr>
          <w:rFonts w:hint="default" w:ascii="Times New Roman" w:hAnsi="Times New Roman" w:cs="Times New Roman"/>
          <w:b/>
          <w:bCs/>
          <w:color w:val="auto"/>
          <w:sz w:val="30"/>
          <w:szCs w:val="30"/>
          <w:highlight w:val="none"/>
          <w:lang w:val="en-US" w:eastAsia="zh-CN"/>
        </w:rPr>
        <w:t>期熔剂用白云岩</w:t>
      </w:r>
      <w:r>
        <w:rPr>
          <w:rFonts w:hint="eastAsia" w:ascii="Times New Roman" w:hAnsi="Times New Roman" w:cs="Times New Roman"/>
          <w:b/>
          <w:bCs/>
          <w:color w:val="auto"/>
          <w:sz w:val="30"/>
          <w:szCs w:val="30"/>
          <w:highlight w:val="none"/>
          <w:lang w:val="en-US" w:eastAsia="zh-CN"/>
        </w:rPr>
        <w:t>混合料</w:t>
      </w:r>
      <w:r>
        <w:rPr>
          <w:rFonts w:hint="default" w:ascii="Times New Roman" w:hAnsi="Times New Roman" w:cs="Times New Roman"/>
          <w:b/>
          <w:bCs/>
          <w:color w:val="auto"/>
          <w:sz w:val="30"/>
          <w:szCs w:val="30"/>
          <w:highlight w:val="none"/>
          <w:lang w:val="en-US" w:eastAsia="zh-CN"/>
        </w:rPr>
        <w:t>竞价销售项目</w:t>
      </w:r>
    </w:p>
    <w:p w14:paraId="691F4DEB">
      <w:pPr>
        <w:pStyle w:val="19"/>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634B5A75">
      <w:pPr>
        <w:spacing w:before="34"/>
        <w:rPr>
          <w:rFonts w:hint="default" w:ascii="Times New Roman" w:hAnsi="Times New Roman" w:cs="Times New Roman"/>
          <w:color w:val="auto"/>
          <w:sz w:val="24"/>
          <w:highlight w:val="none"/>
          <w:u w:val="single"/>
        </w:rPr>
      </w:pPr>
    </w:p>
    <w:p w14:paraId="1B82360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005A92D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06EC4CDF">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27328324">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3851BE41">
      <w:pPr>
        <w:spacing w:before="34"/>
        <w:ind w:firstLine="1200" w:firstLineChars="500"/>
        <w:rPr>
          <w:rFonts w:hint="default" w:ascii="Times New Roman" w:hAnsi="Times New Roman" w:cs="Times New Roman"/>
          <w:color w:val="auto"/>
          <w:sz w:val="24"/>
          <w:highlight w:val="none"/>
        </w:rPr>
      </w:pPr>
    </w:p>
    <w:p w14:paraId="5A637694">
      <w:pPr>
        <w:spacing w:before="34"/>
        <w:ind w:firstLine="1200" w:firstLineChars="500"/>
        <w:rPr>
          <w:rFonts w:hint="default" w:ascii="Times New Roman" w:hAnsi="Times New Roman" w:cs="Times New Roman"/>
          <w:color w:val="auto"/>
          <w:sz w:val="24"/>
          <w:highlight w:val="none"/>
        </w:rPr>
      </w:pPr>
    </w:p>
    <w:p w14:paraId="01625CE2">
      <w:pPr>
        <w:spacing w:before="34"/>
        <w:ind w:firstLine="1200" w:firstLineChars="500"/>
        <w:rPr>
          <w:rFonts w:hint="default" w:ascii="Times New Roman" w:hAnsi="Times New Roman" w:cs="Times New Roman"/>
          <w:color w:val="auto"/>
          <w:sz w:val="24"/>
          <w:highlight w:val="none"/>
        </w:rPr>
      </w:pPr>
    </w:p>
    <w:p w14:paraId="70E61483">
      <w:pPr>
        <w:spacing w:before="34"/>
        <w:rPr>
          <w:rFonts w:hint="default" w:ascii="Times New Roman" w:hAnsi="Times New Roman" w:cs="Times New Roman"/>
          <w:color w:val="auto"/>
          <w:sz w:val="24"/>
          <w:highlight w:val="none"/>
        </w:rPr>
      </w:pPr>
    </w:p>
    <w:p w14:paraId="607518B7">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39F63099">
      <w:pPr>
        <w:spacing w:before="34"/>
        <w:ind w:firstLine="1200" w:firstLineChars="500"/>
        <w:rPr>
          <w:rFonts w:hint="default" w:ascii="Times New Roman" w:hAnsi="Times New Roman" w:cs="Times New Roman"/>
          <w:color w:val="auto"/>
          <w:sz w:val="24"/>
          <w:highlight w:val="none"/>
          <w:u w:val="single"/>
        </w:rPr>
      </w:pPr>
    </w:p>
    <w:p w14:paraId="6943B7F2">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17163"/>
      <w:r>
        <w:rPr>
          <w:rFonts w:hint="default" w:ascii="Times New Roman" w:hAnsi="Times New Roman" w:eastAsia="黑体" w:cs="Times New Roman"/>
          <w:b w:val="0"/>
          <w:bCs/>
          <w:color w:val="auto"/>
          <w:sz w:val="32"/>
          <w:szCs w:val="32"/>
          <w:highlight w:val="none"/>
        </w:rPr>
        <w:t>一、竞买人营业执照复印件</w:t>
      </w:r>
      <w:bookmarkEnd w:id="159"/>
      <w:r>
        <w:rPr>
          <w:rFonts w:hint="default" w:ascii="Times New Roman" w:hAnsi="Times New Roman" w:eastAsia="黑体" w:cs="Times New Roman"/>
          <w:b w:val="0"/>
          <w:bCs/>
          <w:color w:val="auto"/>
          <w:sz w:val="32"/>
          <w:szCs w:val="32"/>
          <w:highlight w:val="none"/>
        </w:rPr>
        <w:t xml:space="preserve"> </w:t>
      </w:r>
    </w:p>
    <w:p w14:paraId="09F967CE">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60" w:name="_Toc26616"/>
      <w:r>
        <w:rPr>
          <w:rFonts w:hint="default" w:ascii="Times New Roman" w:hAnsi="Times New Roman" w:eastAsia="黑体" w:cs="Times New Roman"/>
          <w:b w:val="0"/>
          <w:bCs/>
          <w:color w:val="auto"/>
          <w:sz w:val="32"/>
          <w:szCs w:val="32"/>
          <w:highlight w:val="none"/>
        </w:rPr>
        <w:t>二、竞买人的法定代表人身份证明书</w:t>
      </w:r>
      <w:bookmarkEnd w:id="160"/>
    </w:p>
    <w:p w14:paraId="0EFA8D22">
      <w:pPr>
        <w:pStyle w:val="5"/>
        <w:spacing w:before="8"/>
        <w:rPr>
          <w:rFonts w:hint="default" w:ascii="Times New Roman" w:hAnsi="Times New Roman" w:cs="Times New Roman"/>
          <w:b/>
          <w:color w:val="auto"/>
          <w:sz w:val="31"/>
          <w:highlight w:val="none"/>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6F6EA6FA">
      <w:pPr>
        <w:pStyle w:val="5"/>
        <w:rPr>
          <w:rFonts w:hint="default" w:ascii="Times New Roman" w:hAnsi="Times New Roman" w:cs="Times New Roman"/>
          <w:b/>
          <w:color w:val="auto"/>
          <w:sz w:val="20"/>
          <w:highlight w:val="none"/>
        </w:rPr>
      </w:pPr>
    </w:p>
    <w:p w14:paraId="0278EE05">
      <w:pPr>
        <w:pStyle w:val="5"/>
        <w:spacing w:before="10"/>
        <w:rPr>
          <w:rFonts w:hint="default" w:ascii="Times New Roman" w:hAnsi="Times New Roman" w:cs="Times New Roman"/>
          <w:b/>
          <w:color w:val="auto"/>
          <w:sz w:val="28"/>
          <w:szCs w:val="28"/>
          <w:highlight w:val="none"/>
        </w:rPr>
      </w:pPr>
    </w:p>
    <w:p w14:paraId="23A6B91C">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46632401">
      <w:pPr>
        <w:pStyle w:val="5"/>
        <w:rPr>
          <w:rFonts w:hint="default" w:ascii="Times New Roman" w:hAnsi="Times New Roman" w:cs="Times New Roman"/>
          <w:b/>
          <w:color w:val="auto"/>
          <w:highlight w:val="none"/>
        </w:rPr>
      </w:pPr>
    </w:p>
    <w:p w14:paraId="10C250B8">
      <w:pPr>
        <w:pStyle w:val="5"/>
        <w:spacing w:before="54"/>
        <w:jc w:val="right"/>
        <w:rPr>
          <w:rFonts w:hint="default" w:ascii="Times New Roman" w:hAnsi="Times New Roman" w:cs="Times New Roman"/>
          <w:color w:val="auto"/>
          <w:sz w:val="28"/>
          <w:highlight w:val="none"/>
        </w:rPr>
      </w:pPr>
    </w:p>
    <w:p w14:paraId="69302269">
      <w:pPr>
        <w:pStyle w:val="5"/>
        <w:spacing w:before="54"/>
        <w:jc w:val="right"/>
        <w:rPr>
          <w:rFonts w:hint="default" w:ascii="Times New Roman" w:hAnsi="Times New Roman" w:cs="Times New Roman"/>
          <w:color w:val="auto"/>
          <w:sz w:val="28"/>
          <w:highlight w:val="none"/>
        </w:rPr>
      </w:pPr>
    </w:p>
    <w:p w14:paraId="3A633E11">
      <w:pPr>
        <w:pStyle w:val="5"/>
        <w:spacing w:before="54"/>
        <w:jc w:val="right"/>
        <w:rPr>
          <w:rFonts w:hint="default" w:ascii="Times New Roman" w:hAnsi="Times New Roman" w:cs="Times New Roman"/>
          <w:color w:val="auto"/>
          <w:sz w:val="28"/>
          <w:highlight w:val="none"/>
        </w:rPr>
      </w:pPr>
    </w:p>
    <w:p w14:paraId="2726A41C">
      <w:pPr>
        <w:pStyle w:val="5"/>
        <w:spacing w:before="54"/>
        <w:jc w:val="right"/>
        <w:rPr>
          <w:rFonts w:hint="default" w:ascii="Times New Roman" w:hAnsi="Times New Roman" w:cs="Times New Roman"/>
          <w:color w:val="auto"/>
          <w:sz w:val="28"/>
          <w:highlight w:val="none"/>
        </w:rPr>
      </w:pPr>
    </w:p>
    <w:p w14:paraId="2732BD1B">
      <w:pPr>
        <w:pStyle w:val="5"/>
        <w:spacing w:before="54"/>
        <w:jc w:val="right"/>
        <w:rPr>
          <w:rFonts w:hint="default" w:ascii="Times New Roman" w:hAnsi="Times New Roman" w:cs="Times New Roman"/>
          <w:color w:val="auto"/>
          <w:sz w:val="28"/>
          <w:highlight w:val="none"/>
        </w:rPr>
      </w:pPr>
    </w:p>
    <w:p w14:paraId="4AC7973A">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auto"/>
          <w:sz w:val="32"/>
          <w:szCs w:val="32"/>
          <w:highlight w:val="none"/>
          <w:lang w:val="en-US" w:eastAsia="zh-CN"/>
        </w:rPr>
      </w:pPr>
      <w:bookmarkStart w:id="161" w:name="_bookmark12"/>
      <w:bookmarkEnd w:id="161"/>
      <w:bookmarkStart w:id="162" w:name="_bookmark9"/>
      <w:bookmarkEnd w:id="162"/>
      <w:bookmarkStart w:id="163" w:name="_bookmark16"/>
      <w:bookmarkEnd w:id="163"/>
      <w:bookmarkStart w:id="164" w:name="_bookmark15"/>
      <w:bookmarkEnd w:id="164"/>
      <w:bookmarkStart w:id="165" w:name="_bookmark14"/>
      <w:bookmarkEnd w:id="165"/>
      <w:bookmarkStart w:id="166" w:name="_TOC_250000"/>
      <w:bookmarkEnd w:id="166"/>
      <w:bookmarkStart w:id="167" w:name="_bookmark10"/>
      <w:bookmarkEnd w:id="167"/>
      <w:bookmarkStart w:id="168" w:name="_bookmark17"/>
      <w:bookmarkEnd w:id="168"/>
      <w:bookmarkStart w:id="169" w:name="_bookmark11"/>
      <w:bookmarkEnd w:id="169"/>
      <w:bookmarkStart w:id="170" w:name="_bookmark8"/>
      <w:bookmarkEnd w:id="170"/>
      <w:bookmarkStart w:id="171"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1"/>
    </w:p>
    <w:p w14:paraId="798FE610">
      <w:pPr>
        <w:pStyle w:val="5"/>
        <w:spacing w:before="12"/>
        <w:rPr>
          <w:rFonts w:hint="default" w:ascii="Times New Roman" w:hAnsi="Times New Roman" w:cs="Times New Roman"/>
          <w:b/>
          <w:color w:val="auto"/>
          <w:sz w:val="36"/>
          <w:highlight w:val="none"/>
        </w:rPr>
      </w:pPr>
    </w:p>
    <w:p w14:paraId="76AEFE7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2" w:name="_Toc8846"/>
      <w:bookmarkStart w:id="173" w:name="_Toc28559"/>
      <w:bookmarkStart w:id="174" w:name="_Toc3154"/>
      <w:bookmarkStart w:id="175" w:name="_Toc19548"/>
      <w:bookmarkStart w:id="176" w:name="_Toc23178"/>
      <w:r>
        <w:rPr>
          <w:rFonts w:hint="default" w:ascii="Times New Roman" w:hAnsi="Times New Roman" w:eastAsia="方正小标宋简体" w:cs="Times New Roman"/>
          <w:b w:val="0"/>
          <w:bCs w:val="0"/>
          <w:color w:val="auto"/>
          <w:sz w:val="32"/>
          <w:szCs w:val="32"/>
          <w:highlight w:val="none"/>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2DA01829">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auto"/>
          <w:sz w:val="28"/>
          <w:szCs w:val="28"/>
          <w:highlight w:val="none"/>
        </w:rPr>
      </w:pPr>
    </w:p>
    <w:p w14:paraId="30214D3A">
      <w:pPr>
        <w:pStyle w:val="5"/>
        <w:rPr>
          <w:rFonts w:hint="default" w:ascii="Times New Roman" w:hAnsi="Times New Roman" w:cs="Times New Roman"/>
          <w:color w:val="auto"/>
          <w:sz w:val="28"/>
          <w:szCs w:val="28"/>
          <w:highlight w:val="none"/>
        </w:rPr>
      </w:pPr>
    </w:p>
    <w:p w14:paraId="13FD8282">
      <w:pPr>
        <w:pStyle w:val="5"/>
        <w:rPr>
          <w:rFonts w:hint="default" w:ascii="Times New Roman" w:hAnsi="Times New Roman" w:cs="Times New Roman"/>
          <w:color w:val="auto"/>
          <w:sz w:val="28"/>
          <w:szCs w:val="28"/>
          <w:highlight w:val="none"/>
        </w:rPr>
      </w:pPr>
    </w:p>
    <w:p w14:paraId="193D69A3">
      <w:pPr>
        <w:pStyle w:val="5"/>
        <w:rPr>
          <w:rFonts w:hint="default" w:ascii="Times New Roman" w:hAnsi="Times New Roman" w:cs="Times New Roman"/>
          <w:color w:val="auto"/>
          <w:sz w:val="28"/>
          <w:szCs w:val="28"/>
          <w:highlight w:val="none"/>
        </w:rPr>
      </w:pPr>
    </w:p>
    <w:p w14:paraId="7029E79A">
      <w:pPr>
        <w:pStyle w:val="5"/>
        <w:rPr>
          <w:rFonts w:hint="default" w:ascii="Times New Roman" w:hAnsi="Times New Roman" w:cs="Times New Roman"/>
          <w:color w:val="auto"/>
          <w:sz w:val="28"/>
          <w:szCs w:val="28"/>
          <w:highlight w:val="none"/>
        </w:rPr>
      </w:pPr>
    </w:p>
    <w:p w14:paraId="7E5495F2">
      <w:pPr>
        <w:pStyle w:val="5"/>
        <w:rPr>
          <w:rFonts w:hint="default" w:ascii="Times New Roman" w:hAnsi="Times New Roman" w:cs="Times New Roman"/>
          <w:color w:val="auto"/>
          <w:sz w:val="28"/>
          <w:szCs w:val="28"/>
          <w:highlight w:val="none"/>
        </w:rPr>
      </w:pPr>
    </w:p>
    <w:p w14:paraId="7EDF181E">
      <w:pPr>
        <w:pStyle w:val="5"/>
        <w:rPr>
          <w:rFonts w:hint="default" w:ascii="Times New Roman" w:hAnsi="Times New Roman" w:cs="Times New Roman"/>
          <w:color w:val="auto"/>
          <w:sz w:val="28"/>
          <w:szCs w:val="28"/>
          <w:highlight w:val="none"/>
        </w:rPr>
      </w:pPr>
    </w:p>
    <w:p w14:paraId="23C60EBA">
      <w:pPr>
        <w:pStyle w:val="5"/>
        <w:rPr>
          <w:rFonts w:hint="default" w:ascii="Times New Roman" w:hAnsi="Times New Roman" w:cs="Times New Roman"/>
          <w:color w:val="auto"/>
          <w:sz w:val="28"/>
          <w:szCs w:val="28"/>
          <w:highlight w:val="none"/>
        </w:rPr>
      </w:pPr>
    </w:p>
    <w:p w14:paraId="6945ACE5">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F7319A9">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7" w:name="_Toc4371"/>
      <w:r>
        <w:rPr>
          <w:rFonts w:hint="default" w:ascii="Times New Roman" w:hAnsi="Times New Roman" w:eastAsia="方正仿宋_GB2312" w:cs="Times New Roman"/>
          <w:color w:val="auto"/>
          <w:sz w:val="28"/>
          <w:szCs w:val="28"/>
          <w:highlight w:val="none"/>
        </w:rPr>
        <w:t xml:space="preserve">    </w:t>
      </w:r>
    </w:p>
    <w:p w14:paraId="493B0653">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8" w:name="_Toc18691"/>
      <w:r>
        <w:rPr>
          <w:rFonts w:hint="default" w:ascii="Times New Roman" w:hAnsi="Times New Roman" w:eastAsia="黑体" w:cs="Times New Roman"/>
          <w:b w:val="0"/>
          <w:bCs/>
          <w:color w:val="auto"/>
          <w:sz w:val="32"/>
          <w:szCs w:val="32"/>
          <w:highlight w:val="none"/>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794283C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9" w:name="_Toc668"/>
      <w:bookmarkStart w:id="180" w:name="_Toc27209"/>
      <w:bookmarkStart w:id="181" w:name="_Toc25471"/>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2" w:name="_Toc23877"/>
      <w:bookmarkStart w:id="183" w:name="_Toc4643"/>
      <w:bookmarkStart w:id="184" w:name="_Toc3413"/>
      <w:bookmarkStart w:id="185" w:name="_Toc276"/>
      <w:bookmarkStart w:id="186" w:name="_Toc10500"/>
      <w:r>
        <w:rPr>
          <w:rFonts w:hint="default" w:ascii="Times New Roman" w:hAnsi="Times New Roman" w:eastAsia="华文仿宋" w:cs="Times New Roman"/>
          <w:color w:val="auto"/>
          <w:spacing w:val="-1"/>
          <w:sz w:val="28"/>
          <w:szCs w:val="28"/>
          <w:highlight w:val="none"/>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72201C66">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auto"/>
          <w:sz w:val="32"/>
          <w:szCs w:val="32"/>
          <w:highlight w:val="none"/>
          <w:lang w:val="en-US" w:eastAsia="zh-CN"/>
        </w:rPr>
      </w:pPr>
      <w:bookmarkStart w:id="187" w:name="_Toc1090"/>
      <w:bookmarkStart w:id="188"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5E4620D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签名</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0B69497D">
      <w:pPr>
        <w:rPr>
          <w:rFonts w:hint="default" w:ascii="Times New Roman" w:hAnsi="Times New Roman" w:eastAsia="方正仿宋_GB2312" w:cs="Times New Roman"/>
          <w:color w:val="auto"/>
          <w:sz w:val="28"/>
          <w:szCs w:val="28"/>
          <w:highlight w:val="none"/>
        </w:rPr>
      </w:pPr>
    </w:p>
    <w:p w14:paraId="135C6AF2">
      <w:pPr>
        <w:pStyle w:val="2"/>
        <w:rPr>
          <w:rFonts w:hint="default" w:ascii="Times New Roman" w:hAnsi="Times New Roman" w:eastAsia="方正仿宋_GB2312" w:cs="Times New Roman"/>
          <w:color w:val="auto"/>
          <w:sz w:val="28"/>
          <w:szCs w:val="28"/>
          <w:highlight w:val="none"/>
        </w:rPr>
      </w:pPr>
    </w:p>
    <w:p w14:paraId="5845FAE9">
      <w:pPr>
        <w:rPr>
          <w:rFonts w:hint="default" w:ascii="Times New Roman" w:hAnsi="Times New Roman" w:eastAsia="方正仿宋_GB2312" w:cs="Times New Roman"/>
          <w:color w:val="auto"/>
          <w:sz w:val="28"/>
          <w:szCs w:val="28"/>
          <w:highlight w:val="none"/>
        </w:rPr>
      </w:pPr>
    </w:p>
    <w:p w14:paraId="65F8CFEB">
      <w:pPr>
        <w:pStyle w:val="2"/>
        <w:rPr>
          <w:rFonts w:hint="default" w:ascii="Times New Roman" w:hAnsi="Times New Roman" w:eastAsia="方正仿宋_GB2312" w:cs="Times New Roman"/>
          <w:color w:val="auto"/>
          <w:sz w:val="28"/>
          <w:szCs w:val="28"/>
          <w:highlight w:val="none"/>
        </w:rPr>
      </w:pPr>
    </w:p>
    <w:p w14:paraId="0982104D">
      <w:pPr>
        <w:rPr>
          <w:rFonts w:hint="default" w:ascii="Times New Roman" w:hAnsi="Times New Roman" w:eastAsia="方正仿宋_GB2312" w:cs="Times New Roman"/>
          <w:color w:val="auto"/>
          <w:sz w:val="28"/>
          <w:szCs w:val="28"/>
          <w:highlight w:val="none"/>
        </w:rPr>
      </w:pPr>
    </w:p>
    <w:p w14:paraId="67C48FAF">
      <w:pPr>
        <w:pStyle w:val="2"/>
        <w:rPr>
          <w:rFonts w:hint="default" w:ascii="Times New Roman" w:hAnsi="Times New Roman" w:eastAsia="方正仿宋_GB2312" w:cs="Times New Roman"/>
          <w:color w:val="auto"/>
          <w:sz w:val="28"/>
          <w:szCs w:val="28"/>
          <w:highlight w:val="none"/>
        </w:rPr>
      </w:pPr>
    </w:p>
    <w:p w14:paraId="6734B31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7"/>
      <w:bookmarkEnd w:id="188"/>
    </w:p>
    <w:p w14:paraId="75F8F411">
      <w:pPr>
        <w:pStyle w:val="5"/>
        <w:spacing w:before="9"/>
        <w:rPr>
          <w:rFonts w:hint="default" w:ascii="Times New Roman" w:hAnsi="Times New Roman" w:cs="Times New Roman"/>
          <w:b/>
          <w:color w:val="auto"/>
          <w:sz w:val="28"/>
          <w:szCs w:val="28"/>
          <w:highlight w:val="none"/>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9" w:name="_Toc6055"/>
      <w:bookmarkStart w:id="190" w:name="_Toc2608"/>
      <w:bookmarkStart w:id="191" w:name="_Toc28368"/>
      <w:bookmarkStart w:id="192" w:name="_Toc26444"/>
      <w:bookmarkStart w:id="193" w:name="_Toc12166"/>
      <w:bookmarkStart w:id="194" w:name="_Toc1385"/>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057D56F6">
      <w:pPr>
        <w:pStyle w:val="5"/>
        <w:rPr>
          <w:rFonts w:hint="default" w:ascii="Times New Roman" w:hAnsi="Times New Roman" w:eastAsia="华文仿宋" w:cs="Times New Roman"/>
          <w:color w:val="auto"/>
          <w:sz w:val="28"/>
          <w:szCs w:val="28"/>
          <w:highlight w:val="none"/>
        </w:rPr>
      </w:pPr>
    </w:p>
    <w:p w14:paraId="019C3CCF">
      <w:pPr>
        <w:pStyle w:val="5"/>
        <w:rPr>
          <w:rFonts w:hint="default" w:ascii="Times New Roman" w:hAnsi="Times New Roman" w:eastAsia="华文仿宋" w:cs="Times New Roman"/>
          <w:color w:val="auto"/>
          <w:sz w:val="28"/>
          <w:szCs w:val="28"/>
          <w:highlight w:val="none"/>
        </w:rPr>
      </w:pPr>
    </w:p>
    <w:p w14:paraId="0FB66CD3">
      <w:pPr>
        <w:pStyle w:val="5"/>
        <w:rPr>
          <w:rFonts w:hint="default" w:ascii="Times New Roman" w:hAnsi="Times New Roman" w:eastAsia="华文仿宋" w:cs="Times New Roman"/>
          <w:color w:val="auto"/>
          <w:sz w:val="28"/>
          <w:szCs w:val="28"/>
          <w:highlight w:val="none"/>
        </w:rPr>
      </w:pPr>
    </w:p>
    <w:p w14:paraId="277BF727">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5" w:name="_Toc7684"/>
      <w:r>
        <w:rPr>
          <w:rFonts w:hint="default" w:ascii="Times New Roman" w:hAnsi="Times New Roman" w:eastAsia="华文仿宋" w:cs="Times New Roman"/>
          <w:color w:val="auto"/>
          <w:spacing w:val="-1"/>
          <w:sz w:val="28"/>
          <w:szCs w:val="28"/>
          <w:highlight w:val="none"/>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3F12CECC">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6" w:name="_Toc10884"/>
      <w:bookmarkStart w:id="197" w:name="_Toc5417"/>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6"/>
      <w:bookmarkEnd w:id="197"/>
    </w:p>
    <w:p w14:paraId="7739E127">
      <w:pPr>
        <w:pStyle w:val="2"/>
        <w:wordWrap w:val="0"/>
        <w:jc w:val="right"/>
        <w:rPr>
          <w:rFonts w:hint="default" w:ascii="Times New Roman" w:hAnsi="Times New Roman" w:eastAsia="方正仿宋_GB2312" w:cs="Times New Roman"/>
          <w:color w:val="auto"/>
          <w:sz w:val="28"/>
          <w:szCs w:val="28"/>
          <w:highlight w:val="none"/>
        </w:rPr>
      </w:pPr>
    </w:p>
    <w:p w14:paraId="54CE6353">
      <w:pPr>
        <w:pStyle w:val="2"/>
        <w:wordWrap w:val="0"/>
        <w:jc w:val="right"/>
        <w:rPr>
          <w:rFonts w:hint="default" w:ascii="Times New Roman" w:hAnsi="Times New Roman" w:eastAsia="方正仿宋_GB2312" w:cs="Times New Roman"/>
          <w:color w:val="auto"/>
          <w:sz w:val="28"/>
          <w:szCs w:val="28"/>
          <w:highlight w:val="none"/>
        </w:rPr>
      </w:pPr>
    </w:p>
    <w:p w14:paraId="0855B5CF">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8" w:name="_Toc12702"/>
    </w:p>
    <w:p w14:paraId="2D8E643E">
      <w:pPr>
        <w:pStyle w:val="2"/>
        <w:wordWrap w:val="0"/>
        <w:ind w:left="0" w:leftChars="0" w:firstLine="0" w:firstLineChars="0"/>
        <w:jc w:val="both"/>
        <w:rPr>
          <w:rFonts w:hint="default" w:ascii="Times New Roman" w:hAnsi="Times New Roman" w:cs="Times New Roman"/>
          <w:color w:val="auto"/>
          <w:sz w:val="32"/>
          <w:szCs w:val="32"/>
          <w:highlight w:val="none"/>
        </w:rPr>
      </w:pPr>
    </w:p>
    <w:p w14:paraId="1319E2D4">
      <w:pPr>
        <w:pStyle w:val="2"/>
        <w:wordWrap w:val="0"/>
        <w:ind w:left="0" w:leftChars="0" w:firstLine="0" w:firstLineChars="0"/>
        <w:jc w:val="both"/>
        <w:rPr>
          <w:rFonts w:hint="default" w:ascii="Times New Roman" w:hAnsi="Times New Roman" w:cs="Times New Roman"/>
          <w:color w:val="auto"/>
          <w:sz w:val="32"/>
          <w:szCs w:val="32"/>
          <w:highlight w:val="none"/>
        </w:rPr>
      </w:pPr>
    </w:p>
    <w:p w14:paraId="2EE2E290">
      <w:pPr>
        <w:pStyle w:val="2"/>
        <w:wordWrap w:val="0"/>
        <w:ind w:left="0" w:leftChars="0" w:firstLine="0" w:firstLineChars="0"/>
        <w:jc w:val="both"/>
        <w:rPr>
          <w:rFonts w:hint="default" w:ascii="Times New Roman" w:hAnsi="Times New Roman" w:cs="Times New Roman"/>
          <w:color w:val="auto"/>
          <w:sz w:val="32"/>
          <w:szCs w:val="32"/>
          <w:highlight w:val="none"/>
        </w:rPr>
      </w:pPr>
    </w:p>
    <w:p w14:paraId="5581C5D2">
      <w:pPr>
        <w:rPr>
          <w:rFonts w:hint="default" w:ascii="Times New Roman" w:hAnsi="Times New Roman" w:cs="Times New Roman"/>
          <w:color w:val="auto"/>
          <w:sz w:val="32"/>
          <w:szCs w:val="32"/>
          <w:highlight w:val="none"/>
        </w:rPr>
      </w:pPr>
    </w:p>
    <w:p w14:paraId="33EC6CB0">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213637F4">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A306CD">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52FAEC">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02BE84B4">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A8D211">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448D8E">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熔剂用白云岩混合料</w:t>
            </w:r>
          </w:p>
        </w:tc>
      </w:tr>
      <w:tr w14:paraId="3AC4B74D">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B6E42B">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0965A5">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50</w:t>
            </w:r>
            <w:r>
              <w:rPr>
                <w:rFonts w:hint="default" w:ascii="Times New Roman" w:hAnsi="Times New Roman" w:cs="Times New Roman"/>
                <w:color w:val="auto"/>
                <w:sz w:val="28"/>
                <w:szCs w:val="28"/>
                <w:highlight w:val="none"/>
              </w:rPr>
              <w:t>万吨</w:t>
            </w:r>
          </w:p>
        </w:tc>
      </w:tr>
      <w:tr w14:paraId="68FE557D">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119B9C">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15AC8277">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6B26A2F8">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2DD8A6A0">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7B6736B6">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605BE486">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7A22825C">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70001ABB">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38789FF">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02F2D5E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p>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315774AF">
      <w:pPr>
        <w:keepNext w:val="0"/>
        <w:keepLines w:val="0"/>
        <w:pageBreakBefore w:val="0"/>
        <w:widowControl w:val="0"/>
        <w:kinsoku/>
        <w:wordWrap/>
        <w:overflowPunct/>
        <w:topLinePunct w:val="0"/>
        <w:autoSpaceDE/>
        <w:autoSpaceDN/>
        <w:bidi w:val="0"/>
        <w:adjustRightInd w:val="0"/>
        <w:snapToGrid w:val="0"/>
        <w:spacing w:line="520" w:lineRule="exact"/>
        <w:ind w:firstLine="560"/>
        <w:jc w:val="both"/>
        <w:textAlignment w:val="auto"/>
        <w:rPr>
          <w:rFonts w:hint="eastAsia" w:ascii="Times New Roman" w:hAnsi="Times New Roman" w:cs="Times New Roman"/>
          <w:color w:val="auto"/>
          <w:spacing w:val="-1"/>
          <w:sz w:val="24"/>
          <w:szCs w:val="24"/>
          <w:highlight w:val="none"/>
          <w:lang w:val="en-US" w:eastAsia="zh-CN"/>
        </w:rPr>
      </w:pPr>
      <w:r>
        <w:rPr>
          <w:rFonts w:hint="eastAsia" w:ascii="Times New Roman" w:hAnsi="Times New Roman" w:eastAsia="华文仿宋" w:cs="Times New Roman"/>
          <w:b w:val="0"/>
          <w:bCs w:val="0"/>
          <w:color w:val="auto"/>
          <w:sz w:val="28"/>
          <w:szCs w:val="28"/>
          <w:highlight w:val="none"/>
          <w:lang w:val="en-US" w:eastAsia="zh-CN"/>
        </w:rPr>
        <w:t>特别说明：参与多个标包竞售的，须按所参与标包数量，制作同等数量的竞价文件，每套文件对应1个标包。</w:t>
      </w:r>
      <w:r>
        <w:rPr>
          <w:rFonts w:hint="default" w:ascii="Times New Roman" w:hAnsi="Times New Roman" w:eastAsia="华文仿宋" w:cs="Times New Roman"/>
          <w:b w:val="0"/>
          <w:bCs w:val="0"/>
          <w:color w:val="auto"/>
          <w:sz w:val="28"/>
          <w:szCs w:val="28"/>
          <w:highlight w:val="none"/>
          <w:lang w:val="en-US" w:eastAsia="zh-CN"/>
        </w:rPr>
        <w:t xml:space="preserve"> </w:t>
      </w: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cs="Times New Roman"/>
          <w:color w:val="auto"/>
          <w:spacing w:val="-1"/>
          <w:sz w:val="24"/>
          <w:szCs w:val="24"/>
          <w:highlight w:val="none"/>
          <w:lang w:val="en-US" w:eastAsia="zh-CN"/>
        </w:rPr>
        <w:t xml:space="preserve">   </w:t>
      </w:r>
    </w:p>
    <w:p w14:paraId="415D6029">
      <w:pPr>
        <w:keepNext w:val="0"/>
        <w:keepLines w:val="0"/>
        <w:pageBreakBefore w:val="0"/>
        <w:widowControl w:val="0"/>
        <w:kinsoku/>
        <w:wordWrap/>
        <w:overflowPunct/>
        <w:topLinePunct w:val="0"/>
        <w:autoSpaceDE/>
        <w:autoSpaceDN/>
        <w:bidi w:val="0"/>
        <w:adjustRightInd w:val="0"/>
        <w:snapToGrid w:val="0"/>
        <w:spacing w:line="520" w:lineRule="exact"/>
        <w:ind w:firstLine="560"/>
        <w:jc w:val="center"/>
        <w:textAlignment w:val="auto"/>
        <w:rPr>
          <w:rFonts w:hint="eastAsia" w:ascii="Times New Roman" w:hAnsi="Times New Roman" w:cs="Times New Roman"/>
          <w:color w:val="auto"/>
          <w:spacing w:val="-1"/>
          <w:sz w:val="28"/>
          <w:szCs w:val="28"/>
          <w:highlight w:val="none"/>
          <w:lang w:val="en-US" w:eastAsia="zh-CN"/>
        </w:rPr>
      </w:pPr>
      <w:r>
        <w:rPr>
          <w:rFonts w:hint="eastAsia" w:ascii="Times New Roman" w:hAnsi="Times New Roman" w:cs="Times New Roman"/>
          <w:color w:val="auto"/>
          <w:spacing w:val="-1"/>
          <w:sz w:val="28"/>
          <w:szCs w:val="28"/>
          <w:highlight w:val="none"/>
          <w:lang w:val="en-US" w:eastAsia="zh-CN"/>
        </w:rPr>
        <w:t xml:space="preserve">               </w:t>
      </w:r>
    </w:p>
    <w:p w14:paraId="4C3C1D62">
      <w:pPr>
        <w:keepNext w:val="0"/>
        <w:keepLines w:val="0"/>
        <w:pageBreakBefore w:val="0"/>
        <w:widowControl w:val="0"/>
        <w:kinsoku/>
        <w:wordWrap/>
        <w:overflowPunct/>
        <w:topLinePunct w:val="0"/>
        <w:autoSpaceDE/>
        <w:autoSpaceDN/>
        <w:bidi w:val="0"/>
        <w:adjustRightInd w:val="0"/>
        <w:snapToGrid w:val="0"/>
        <w:spacing w:line="520" w:lineRule="exact"/>
        <w:ind w:firstLine="560"/>
        <w:jc w:val="center"/>
        <w:textAlignment w:val="auto"/>
        <w:rPr>
          <w:rFonts w:hint="eastAsia" w:ascii="Times New Roman" w:hAnsi="Times New Roman" w:cs="Times New Roman"/>
          <w:color w:val="auto"/>
          <w:spacing w:val="-1"/>
          <w:sz w:val="28"/>
          <w:szCs w:val="28"/>
          <w:highlight w:val="none"/>
          <w:lang w:val="en-US" w:eastAsia="zh-CN"/>
        </w:rPr>
      </w:pPr>
      <w:r>
        <w:rPr>
          <w:rFonts w:hint="eastAsia" w:ascii="Times New Roman" w:hAnsi="Times New Roman" w:cs="Times New Roman"/>
          <w:color w:val="auto"/>
          <w:spacing w:val="-1"/>
          <w:sz w:val="28"/>
          <w:szCs w:val="28"/>
          <w:highlight w:val="none"/>
          <w:lang w:val="en-US" w:eastAsia="zh-CN"/>
        </w:rPr>
        <w:t xml:space="preserve">                </w:t>
      </w:r>
    </w:p>
    <w:p w14:paraId="6B9058D6">
      <w:pPr>
        <w:keepNext w:val="0"/>
        <w:keepLines w:val="0"/>
        <w:pageBreakBefore w:val="0"/>
        <w:widowControl w:val="0"/>
        <w:kinsoku/>
        <w:wordWrap/>
        <w:overflowPunct/>
        <w:topLinePunct w:val="0"/>
        <w:autoSpaceDE/>
        <w:autoSpaceDN/>
        <w:bidi w:val="0"/>
        <w:adjustRightInd w:val="0"/>
        <w:snapToGrid w:val="0"/>
        <w:spacing w:line="520" w:lineRule="exact"/>
        <w:ind w:firstLine="560"/>
        <w:jc w:val="center"/>
        <w:textAlignment w:val="auto"/>
        <w:rPr>
          <w:rFonts w:hint="eastAsia" w:ascii="Times New Roman" w:hAnsi="Times New Roman" w:cs="Times New Roman"/>
          <w:color w:val="auto"/>
          <w:spacing w:val="-1"/>
          <w:sz w:val="28"/>
          <w:szCs w:val="28"/>
          <w:highlight w:val="none"/>
          <w:lang w:val="en-US" w:eastAsia="zh-CN"/>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ind w:firstLine="560"/>
        <w:jc w:val="center"/>
        <w:textAlignment w:val="auto"/>
        <w:rPr>
          <w:rFonts w:hint="default" w:ascii="Times New Roman" w:hAnsi="Times New Roman" w:eastAsia="华文仿宋" w:cs="Times New Roman"/>
          <w:color w:val="auto"/>
          <w:spacing w:val="-1"/>
          <w:sz w:val="28"/>
          <w:szCs w:val="28"/>
          <w:highlight w:val="none"/>
        </w:rPr>
      </w:pP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highlight w:val="none"/>
          <w:lang w:val="en-US" w:eastAsia="zh-CN"/>
        </w:rPr>
      </w:pP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5F3F649-A068-401C-ADB4-9C1F188714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A9B4740-B394-4D2D-81C2-B21E86214070}"/>
  </w:font>
  <w:font w:name="华文仿宋">
    <w:panose1 w:val="02010600040101010101"/>
    <w:charset w:val="86"/>
    <w:family w:val="auto"/>
    <w:pitch w:val="default"/>
    <w:sig w:usb0="00000287" w:usb1="080F0000" w:usb2="00000000" w:usb3="00000000" w:csb0="0004009F" w:csb1="DFD70000"/>
    <w:embedRegular r:id="rId3" w:fontKey="{E18DC18D-D544-49E3-896E-2FE801276361}"/>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650495F5-B091-40C7-89E2-555BE81EAE2B}"/>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70986051-076B-4AE5-A6C6-DE43510CD65F}"/>
  </w:font>
  <w:font w:name="方正仿宋_GBK">
    <w:panose1 w:val="03000509000000000000"/>
    <w:charset w:val="86"/>
    <w:family w:val="auto"/>
    <w:pitch w:val="default"/>
    <w:sig w:usb0="00000001" w:usb1="080E0000" w:usb2="00000000" w:usb3="00000000" w:csb0="00040000" w:csb1="00000000"/>
    <w:embedRegular r:id="rId6" w:fontKey="{9B0EF430-79A0-4F50-B49E-4C7FD1EAC83B}"/>
  </w:font>
  <w:font w:name="仿宋_GB2312">
    <w:panose1 w:val="02010609030101010101"/>
    <w:charset w:val="86"/>
    <w:family w:val="auto"/>
    <w:pitch w:val="default"/>
    <w:sig w:usb0="00000001" w:usb1="080E0000" w:usb2="00000000" w:usb3="00000000" w:csb0="00040000" w:csb1="00000000"/>
    <w:embedRegular r:id="rId7" w:fontKey="{39B2CDA7-B239-469C-ADFF-D27554919987}"/>
  </w:font>
  <w:font w:name="方正仿宋_GB2312">
    <w:altName w:val="仿宋"/>
    <w:panose1 w:val="02000000000000000000"/>
    <w:charset w:val="86"/>
    <w:family w:val="auto"/>
    <w:pitch w:val="default"/>
    <w:sig w:usb0="00000000" w:usb1="00000000" w:usb2="00000012" w:usb3="00000000" w:csb0="00040001" w:csb1="00000000"/>
    <w:embedRegular r:id="rId8" w:fontKey="{E6E763D0-E0E6-45A2-B1B2-6009A48EC8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F1604"/>
    <w:rsid w:val="08A50334"/>
    <w:rsid w:val="0AD17F27"/>
    <w:rsid w:val="0AD36666"/>
    <w:rsid w:val="0B125A4D"/>
    <w:rsid w:val="0BBD14CD"/>
    <w:rsid w:val="0DAA5BE5"/>
    <w:rsid w:val="0ECB597E"/>
    <w:rsid w:val="0FEB47DF"/>
    <w:rsid w:val="118514FB"/>
    <w:rsid w:val="120855B6"/>
    <w:rsid w:val="122E0C6A"/>
    <w:rsid w:val="15A57157"/>
    <w:rsid w:val="163C7338"/>
    <w:rsid w:val="16C22179"/>
    <w:rsid w:val="17765123"/>
    <w:rsid w:val="19202945"/>
    <w:rsid w:val="19704F4F"/>
    <w:rsid w:val="1A206E30"/>
    <w:rsid w:val="1CD4426C"/>
    <w:rsid w:val="1D690465"/>
    <w:rsid w:val="214B430B"/>
    <w:rsid w:val="223F7E12"/>
    <w:rsid w:val="250B65B2"/>
    <w:rsid w:val="252E1F46"/>
    <w:rsid w:val="26D93C79"/>
    <w:rsid w:val="2CC1297B"/>
    <w:rsid w:val="2F485944"/>
    <w:rsid w:val="2FC44E95"/>
    <w:rsid w:val="30275CF9"/>
    <w:rsid w:val="30497CC6"/>
    <w:rsid w:val="33B75467"/>
    <w:rsid w:val="3425643F"/>
    <w:rsid w:val="351E55DF"/>
    <w:rsid w:val="352978C7"/>
    <w:rsid w:val="36D63FF5"/>
    <w:rsid w:val="36F60981"/>
    <w:rsid w:val="370A3C91"/>
    <w:rsid w:val="37676AF2"/>
    <w:rsid w:val="38E615AB"/>
    <w:rsid w:val="3B797E89"/>
    <w:rsid w:val="3B7F12F6"/>
    <w:rsid w:val="3C15560C"/>
    <w:rsid w:val="3D0139F0"/>
    <w:rsid w:val="3E644E7E"/>
    <w:rsid w:val="3E726EF0"/>
    <w:rsid w:val="3F2B3E63"/>
    <w:rsid w:val="3F653251"/>
    <w:rsid w:val="402A6DCB"/>
    <w:rsid w:val="41C4202E"/>
    <w:rsid w:val="428E5BDE"/>
    <w:rsid w:val="43371DD7"/>
    <w:rsid w:val="43800057"/>
    <w:rsid w:val="441822E7"/>
    <w:rsid w:val="44C13177"/>
    <w:rsid w:val="470A70FC"/>
    <w:rsid w:val="479441C9"/>
    <w:rsid w:val="4A053B47"/>
    <w:rsid w:val="4A86447B"/>
    <w:rsid w:val="4C2833BA"/>
    <w:rsid w:val="4E0617BC"/>
    <w:rsid w:val="4EAD187E"/>
    <w:rsid w:val="4F3D56CE"/>
    <w:rsid w:val="4F467335"/>
    <w:rsid w:val="4F7B372A"/>
    <w:rsid w:val="51EB1981"/>
    <w:rsid w:val="51F003FF"/>
    <w:rsid w:val="5291542C"/>
    <w:rsid w:val="5464033C"/>
    <w:rsid w:val="54BA5DE4"/>
    <w:rsid w:val="554961E0"/>
    <w:rsid w:val="554E2385"/>
    <w:rsid w:val="5583158B"/>
    <w:rsid w:val="5822768B"/>
    <w:rsid w:val="58CC47F4"/>
    <w:rsid w:val="59554FEC"/>
    <w:rsid w:val="59F457BF"/>
    <w:rsid w:val="5B0E605E"/>
    <w:rsid w:val="5B246489"/>
    <w:rsid w:val="5BA463C7"/>
    <w:rsid w:val="5C5C2DD7"/>
    <w:rsid w:val="5DE216E4"/>
    <w:rsid w:val="5EB31496"/>
    <w:rsid w:val="60D61663"/>
    <w:rsid w:val="60F33F59"/>
    <w:rsid w:val="61747C77"/>
    <w:rsid w:val="6C0D6CD2"/>
    <w:rsid w:val="6D2C247B"/>
    <w:rsid w:val="6D581A59"/>
    <w:rsid w:val="6D976193"/>
    <w:rsid w:val="6E0A1FD3"/>
    <w:rsid w:val="6F2353CB"/>
    <w:rsid w:val="6FA759AE"/>
    <w:rsid w:val="701E271C"/>
    <w:rsid w:val="70A42904"/>
    <w:rsid w:val="70EE4C36"/>
    <w:rsid w:val="724E4FA2"/>
    <w:rsid w:val="734C543F"/>
    <w:rsid w:val="742C1037"/>
    <w:rsid w:val="748D0748"/>
    <w:rsid w:val="75CC36F5"/>
    <w:rsid w:val="770C7350"/>
    <w:rsid w:val="77932863"/>
    <w:rsid w:val="78C70F1F"/>
    <w:rsid w:val="795E7C3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10508</Words>
  <Characters>10954</Characters>
  <Lines>0</Lines>
  <Paragraphs>0</Paragraphs>
  <TotalTime>18</TotalTime>
  <ScaleCrop>false</ScaleCrop>
  <LinksUpToDate>false</LinksUpToDate>
  <CharactersWithSpaces>11920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高文君</cp:lastModifiedBy>
  <cp:lastPrinted>2024-11-21T02:09:00Z</cp:lastPrinted>
  <dcterms:modified xsi:type="dcterms:W3CDTF">2025-09-30T09:09:29Z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C628BF5C167A4D3B99E068ABB23D5791_13</vt:lpwstr>
  </property>
  <property fmtid="{D5CDD505-2E9C-101B-9397-08002B2CF9AE}" pid="4" name="KSOTemplateDocerSaveRecord">
    <vt:lpwstr>eyJoZGlkIjoiOWYyNzUyNDMyM2RiNDljMWNiMTg4NjZkZDEwZGFlZDYiLCJ1c2VySWQiOiI2OTEzMDk0OTQifQ==</vt:lpwstr>
  </property>
</Properties>
</file>